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eastAsia="zh-CN"/>
        </w:rPr>
        <w:t>附件</w:t>
      </w:r>
      <w:r>
        <w:rPr>
          <w:rFonts w:hint="eastAsia" w:ascii="黑体" w:hAnsi="黑体" w:eastAsia="黑体" w:cs="黑体"/>
          <w:b w:val="0"/>
          <w:bCs/>
          <w:sz w:val="32"/>
          <w:szCs w:val="32"/>
          <w:lang w:val="en-US" w:eastAsia="zh-CN"/>
        </w:rPr>
        <w:t>4</w:t>
      </w:r>
      <w:bookmarkStart w:id="0" w:name="_GoBack"/>
      <w:bookmarkEnd w:id="0"/>
    </w:p>
    <w:p>
      <w:pPr>
        <w:spacing w:line="360" w:lineRule="auto"/>
        <w:jc w:val="center"/>
        <w:rPr>
          <w:b/>
          <w:sz w:val="36"/>
          <w:szCs w:val="36"/>
        </w:rPr>
      </w:pPr>
      <w:r>
        <w:rPr>
          <w:rFonts w:hint="eastAsia"/>
          <w:b/>
          <w:sz w:val="36"/>
          <w:szCs w:val="36"/>
        </w:rPr>
        <w:t>定点采购供应商征集入库操作指南</w:t>
      </w:r>
    </w:p>
    <w:p>
      <w:pPr>
        <w:pStyle w:val="13"/>
        <w:numPr>
          <w:ilvl w:val="0"/>
          <w:numId w:val="1"/>
        </w:numPr>
        <w:spacing w:line="360" w:lineRule="auto"/>
        <w:ind w:firstLineChars="0"/>
        <w:rPr>
          <w:b/>
          <w:sz w:val="28"/>
          <w:szCs w:val="30"/>
        </w:rPr>
      </w:pPr>
      <w:r>
        <mc:AlternateContent>
          <mc:Choice Requires="wpc">
            <w:drawing>
              <wp:anchor distT="0" distB="0" distL="114300" distR="114300" simplePos="0" relativeHeight="251658240" behindDoc="0" locked="0" layoutInCell="1" allowOverlap="1">
                <wp:simplePos x="0" y="0"/>
                <wp:positionH relativeFrom="margin">
                  <wp:posOffset>8255</wp:posOffset>
                </wp:positionH>
                <wp:positionV relativeFrom="margin">
                  <wp:posOffset>938530</wp:posOffset>
                </wp:positionV>
                <wp:extent cx="5551170" cy="5903595"/>
                <wp:effectExtent l="38100" t="38100" r="68580" b="59055"/>
                <wp:wrapSquare wrapText="bothSides"/>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 name="肘形连接符 6"/>
                        <wps:cNvCnPr>
                          <a:stCxn id="13" idx="2"/>
                          <a:endCxn id="17" idx="3"/>
                        </wps:cNvCnPr>
                        <wps:spPr>
                          <a:xfrm rot="5400000">
                            <a:off x="1749722" y="4700798"/>
                            <a:ext cx="824027" cy="1011704"/>
                          </a:xfrm>
                          <a:prstGeom prst="bentConnector2">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0" name="肘形连接符 30"/>
                        <wps:cNvCnPr/>
                        <wps:spPr>
                          <a:xfrm>
                            <a:off x="1403758" y="2022841"/>
                            <a:ext cx="3319449" cy="2034000"/>
                          </a:xfrm>
                          <a:prstGeom prst="bentConnector2">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 name="文本框 7"/>
                        <wps:cNvSpPr txBox="1"/>
                        <wps:spPr>
                          <a:xfrm>
                            <a:off x="2419203" y="1886363"/>
                            <a:ext cx="619318" cy="338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不通过</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7" name="直接箭头连接符 27"/>
                        <wps:cNvCnPr/>
                        <wps:spPr>
                          <a:xfrm>
                            <a:off x="3283196" y="4326934"/>
                            <a:ext cx="626411"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直接箭头连接符 25"/>
                        <wps:cNvCnPr/>
                        <wps:spPr>
                          <a:xfrm>
                            <a:off x="1425603" y="4326934"/>
                            <a:ext cx="626411"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827998" y="4794638"/>
                            <a:ext cx="0" cy="56898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a:off x="806398" y="2491127"/>
                            <a:ext cx="0" cy="56898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 name="圆角矩形 2"/>
                        <wps:cNvSpPr/>
                        <wps:spPr>
                          <a:xfrm>
                            <a:off x="1" y="0"/>
                            <a:ext cx="1598400" cy="496800"/>
                          </a:xfrm>
                          <a:prstGeom prst="roundRect">
                            <a:avLst/>
                          </a:prstGeom>
                          <a:solidFill>
                            <a:srgbClr val="FFC000"/>
                          </a:solidFill>
                          <a:ln>
                            <a:no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交易主体信息库注册</w:t>
                              </w:r>
                            </w:p>
                            <w:p>
                              <w:pPr>
                                <w:jc w:val="center"/>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（已注册的可跳过此环节）</w:t>
                              </w:r>
                            </w:p>
                          </w:txbxContent>
                        </wps:txbx>
                        <wps:bodyPr rot="0" spcFirstLastPara="0" vertOverflow="overflow" horzOverflow="overflow" vert="horz" wrap="square" lIns="0" tIns="0" rIns="0" bIns="0" numCol="1" spcCol="0" rtlCol="0" fromWordArt="0" anchor="ctr" anchorCtr="0" forceAA="0" compatLnSpc="1">
                          <a:noAutofit/>
                        </wps:bodyPr>
                      </wps:wsp>
                      <wps:wsp>
                        <wps:cNvPr id="3" name="圆角矩形 3"/>
                        <wps:cNvSpPr/>
                        <wps:spPr>
                          <a:xfrm>
                            <a:off x="1" y="777600"/>
                            <a:ext cx="1598400" cy="496800"/>
                          </a:xfrm>
                          <a:prstGeom prst="roundRect">
                            <a:avLst/>
                          </a:prstGeom>
                          <a:solidFill>
                            <a:srgbClr val="FFC000"/>
                          </a:solidFill>
                          <a:ln>
                            <a:no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征集入库申请</w:t>
                              </w:r>
                            </w:p>
                          </w:txbxContent>
                        </wps:txbx>
                        <wps:bodyPr rot="0" spcFirstLastPara="0" vertOverflow="overflow" horzOverflow="overflow" vert="horz" wrap="square" lIns="0" tIns="0" rIns="0" bIns="0" numCol="1" spcCol="0" rtlCol="0" fromWordArt="0" anchor="ctr" anchorCtr="0" forceAA="0" compatLnSpc="1">
                          <a:noAutofit/>
                        </wps:bodyPr>
                      </wps:wsp>
                      <wps:wsp>
                        <wps:cNvPr id="4" name="菱形 4"/>
                        <wps:cNvSpPr/>
                        <wps:spPr>
                          <a:xfrm>
                            <a:off x="201573" y="1562392"/>
                            <a:ext cx="1202428" cy="928735"/>
                          </a:xfrm>
                          <a:prstGeom prst="diamond">
                            <a:avLst/>
                          </a:prstGeom>
                          <a:solidFill>
                            <a:schemeClr val="tx2">
                              <a:lumMod val="60000"/>
                              <a:lumOff val="40000"/>
                            </a:schemeClr>
                          </a:solidFill>
                          <a:ln>
                            <a:no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审核入库申请</w:t>
                              </w:r>
                            </w:p>
                          </w:txbxContent>
                        </wps:txbx>
                        <wps:bodyPr rot="0" spcFirstLastPara="0" vertOverflow="overflow" horzOverflow="overflow" vert="horz" wrap="square" lIns="0" tIns="0" rIns="0" bIns="0" numCol="1" spcCol="0" rtlCol="0" fromWordArt="0" anchor="ctr" anchorCtr="0" forceAA="0" compatLnSpc="1">
                          <a:noAutofit/>
                        </wps:bodyPr>
                      </wps:wsp>
                      <wps:wsp>
                        <wps:cNvPr id="5" name="文本框 5"/>
                        <wps:cNvSpPr txBox="1"/>
                        <wps:spPr>
                          <a:xfrm>
                            <a:off x="536074" y="2596503"/>
                            <a:ext cx="540069" cy="2546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通过</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 name="圆角矩形 9"/>
                        <wps:cNvSpPr/>
                        <wps:spPr>
                          <a:xfrm>
                            <a:off x="7201" y="3059962"/>
                            <a:ext cx="1598400" cy="496800"/>
                          </a:xfrm>
                          <a:prstGeom prst="roundRect">
                            <a:avLst/>
                          </a:prstGeom>
                          <a:solidFill>
                            <a:schemeClr val="tx2">
                              <a:lumMod val="60000"/>
                              <a:lumOff val="40000"/>
                            </a:schemeClr>
                          </a:solidFill>
                          <a:ln>
                            <a:no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公示</w:t>
                              </w:r>
                            </w:p>
                          </w:txbxContent>
                        </wps:txbx>
                        <wps:bodyPr rot="0" spcFirstLastPara="0" vertOverflow="overflow" horzOverflow="overflow" vert="horz" wrap="square" lIns="0" tIns="0" rIns="0" bIns="0" numCol="1" spcCol="0" rtlCol="0" fromWordArt="0" anchor="ctr" anchorCtr="0" forceAA="0" compatLnSpc="1">
                          <a:noAutofit/>
                        </wps:bodyPr>
                      </wps:wsp>
                      <wps:wsp>
                        <wps:cNvPr id="10" name="菱形 10"/>
                        <wps:cNvSpPr/>
                        <wps:spPr>
                          <a:xfrm>
                            <a:off x="223173" y="3851992"/>
                            <a:ext cx="1202428" cy="928735"/>
                          </a:xfrm>
                          <a:prstGeom prst="diamond">
                            <a:avLst/>
                          </a:prstGeom>
                          <a:solidFill>
                            <a:schemeClr val="tx2">
                              <a:lumMod val="60000"/>
                              <a:lumOff val="40000"/>
                            </a:schemeClr>
                          </a:solidFill>
                          <a:ln>
                            <a:no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是否收到异议？</w:t>
                              </w:r>
                            </w:p>
                          </w:txbxContent>
                        </wps:txbx>
                        <wps:bodyPr rot="0" spcFirstLastPara="0" vertOverflow="overflow" horzOverflow="overflow" vert="horz" wrap="square" lIns="0" tIns="0" rIns="0" bIns="0" numCol="1" spcCol="0" rtlCol="0" fromWordArt="0" anchor="ctr" anchorCtr="0" forceAA="0" compatLnSpc="1">
                          <a:noAutofit/>
                        </wps:bodyPr>
                      </wps:wsp>
                      <wps:wsp>
                        <wps:cNvPr id="11" name="文本框 11"/>
                        <wps:cNvSpPr txBox="1"/>
                        <wps:spPr>
                          <a:xfrm>
                            <a:off x="777674" y="4938139"/>
                            <a:ext cx="144094" cy="23140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否</w:t>
                              </w:r>
                            </w:p>
                          </w:txbxContent>
                        </wps:txbx>
                        <wps:bodyPr rot="0" spcFirstLastPara="0" vertOverflow="overflow" horzOverflow="overflow" vert="horz" wrap="square" lIns="0" tIns="0" rIns="0" bIns="0" numCol="1" spcCol="0" rtlCol="0" fromWordArt="0" anchor="t" anchorCtr="0" forceAA="0" compatLnSpc="1">
                          <a:noAutofit/>
                        </wps:bodyPr>
                      </wps:wsp>
                      <wps:wsp>
                        <wps:cNvPr id="12" name="文本框 12"/>
                        <wps:cNvSpPr txBox="1"/>
                        <wps:spPr>
                          <a:xfrm>
                            <a:off x="3484712" y="4230464"/>
                            <a:ext cx="208888" cy="1950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是</w:t>
                              </w:r>
                            </w:p>
                          </w:txbxContent>
                        </wps:txbx>
                        <wps:bodyPr rot="0" spcFirstLastPara="0" vertOverflow="overflow" horzOverflow="overflow" vert="horz" wrap="square" lIns="0" tIns="0" rIns="0" bIns="0" numCol="1" spcCol="0" rtlCol="0" fromWordArt="0" anchor="t" anchorCtr="0" forceAA="0" compatLnSpc="1">
                          <a:noAutofit/>
                        </wps:bodyPr>
                      </wps:wsp>
                      <wps:wsp>
                        <wps:cNvPr id="13" name="菱形 13"/>
                        <wps:cNvSpPr/>
                        <wps:spPr>
                          <a:xfrm>
                            <a:off x="2066373" y="3865902"/>
                            <a:ext cx="1202428" cy="928735"/>
                          </a:xfrm>
                          <a:prstGeom prst="diamond">
                            <a:avLst/>
                          </a:prstGeom>
                          <a:solidFill>
                            <a:schemeClr val="tx2">
                              <a:lumMod val="60000"/>
                              <a:lumOff val="40000"/>
                            </a:schemeClr>
                          </a:solidFill>
                          <a:ln>
                            <a:no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异议是否成立？</w:t>
                              </w:r>
                            </w:p>
                          </w:txbxContent>
                        </wps:txbx>
                        <wps:bodyPr rot="0" spcFirstLastPara="0" vertOverflow="overflow" horzOverflow="overflow" vert="horz" wrap="square" lIns="0" tIns="0" rIns="0" bIns="0" numCol="1" spcCol="0" rtlCol="0" fromWordArt="0" anchor="ctr" anchorCtr="0" forceAA="0" compatLnSpc="1">
                          <a:noAutofit/>
                        </wps:bodyPr>
                      </wps:wsp>
                      <wps:wsp>
                        <wps:cNvPr id="15" name="文本框 15"/>
                        <wps:cNvSpPr txBox="1"/>
                        <wps:spPr>
                          <a:xfrm>
                            <a:off x="2602882" y="5068057"/>
                            <a:ext cx="151206" cy="21650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否</w:t>
                              </w:r>
                            </w:p>
                          </w:txbxContent>
                        </wps:txbx>
                        <wps:bodyPr rot="0" spcFirstLastPara="0" vertOverflow="overflow" horzOverflow="overflow" vert="horz" wrap="square" lIns="0" tIns="0" rIns="0" bIns="0" numCol="1" spcCol="0" rtlCol="0" fromWordArt="0" anchor="t" anchorCtr="0" forceAA="0" compatLnSpc="1">
                          <a:noAutofit/>
                        </wps:bodyPr>
                      </wps:wsp>
                      <wps:wsp>
                        <wps:cNvPr id="16" name="圆角矩形 16"/>
                        <wps:cNvSpPr/>
                        <wps:spPr>
                          <a:xfrm>
                            <a:off x="3916807" y="4060005"/>
                            <a:ext cx="1598400" cy="496800"/>
                          </a:xfrm>
                          <a:prstGeom prst="roundRect">
                            <a:avLst/>
                          </a:prstGeom>
                          <a:solidFill>
                            <a:schemeClr val="tx2">
                              <a:lumMod val="60000"/>
                              <a:lumOff val="40000"/>
                            </a:schemeClr>
                          </a:solidFill>
                          <a:ln>
                            <a:no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查看不通过理由</w:t>
                              </w:r>
                            </w:p>
                          </w:txbxContent>
                        </wps:txbx>
                        <wps:bodyPr rot="0" spcFirstLastPara="0" vertOverflow="overflow" horzOverflow="overflow" vert="horz" wrap="square" lIns="0" tIns="0" rIns="0" bIns="0" numCol="1" spcCol="0" rtlCol="0" fromWordArt="0" anchor="ctr" anchorCtr="0" forceAA="0" compatLnSpc="1">
                          <a:noAutofit/>
                        </wps:bodyPr>
                      </wps:wsp>
                      <wps:wsp>
                        <wps:cNvPr id="17" name="圆角矩形 17"/>
                        <wps:cNvSpPr/>
                        <wps:spPr>
                          <a:xfrm>
                            <a:off x="57483" y="5370264"/>
                            <a:ext cx="1598400" cy="496800"/>
                          </a:xfrm>
                          <a:prstGeom prst="roundRect">
                            <a:avLst/>
                          </a:prstGeom>
                          <a:solidFill>
                            <a:schemeClr val="tx2">
                              <a:lumMod val="60000"/>
                              <a:lumOff val="40000"/>
                            </a:schemeClr>
                          </a:solidFill>
                          <a:ln>
                            <a:no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正式入库</w:t>
                              </w:r>
                            </w:p>
                          </w:txbxContent>
                        </wps:txbx>
                        <wps:bodyPr rot="0" spcFirstLastPara="0" vertOverflow="overflow" horzOverflow="overflow" vert="horz" wrap="square" lIns="0" tIns="0" rIns="0" bIns="0" numCol="1" spcCol="0" rtlCol="0" fromWordArt="0" anchor="ctr" anchorCtr="0" forceAA="0" compatLnSpc="1">
                          <a:noAutofit/>
                        </wps:bodyPr>
                      </wps:wsp>
                      <wps:wsp>
                        <wps:cNvPr id="18" name="直接箭头连接符 18"/>
                        <wps:cNvCnPr>
                          <a:stCxn id="2" idx="2"/>
                          <a:endCxn id="3" idx="0"/>
                        </wps:cNvCnPr>
                        <wps:spPr>
                          <a:xfrm>
                            <a:off x="799201" y="496800"/>
                            <a:ext cx="0" cy="2808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a:off x="799201" y="1274363"/>
                            <a:ext cx="0" cy="2808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a:off x="820801" y="3556653"/>
                            <a:ext cx="0" cy="2808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 name="文本框 24"/>
                        <wps:cNvSpPr txBox="1"/>
                        <wps:spPr>
                          <a:xfrm>
                            <a:off x="1655883" y="4218348"/>
                            <a:ext cx="208888" cy="1950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是</w:t>
                              </w:r>
                            </w:p>
                          </w:txbxContent>
                        </wps:txbx>
                        <wps:bodyPr rot="0" spcFirstLastPara="0" vertOverflow="overflow" horzOverflow="overflow" vert="horz" wrap="square" lIns="0" tIns="0" rIns="0" bIns="0" numCol="1" spcCol="0" rtlCol="0" fromWordArt="0" anchor="t" anchorCtr="0" forceAA="0" compatLnSpc="1">
                          <a:noAutofit/>
                        </wps:bodyPr>
                      </wps:wsp>
                    </wpc:wpc>
                  </a:graphicData>
                </a:graphic>
              </wp:anchor>
            </w:drawing>
          </mc:Choice>
          <mc:Fallback>
            <w:pict>
              <v:group id="_x0000_s1026" o:spid="_x0000_s1026" o:spt="203" style="position:absolute;left:0pt;margin-left:0.65pt;margin-top:73.9pt;height:464.85pt;width:437.1pt;mso-position-horizontal-relative:margin;mso-position-vertical-relative:margin;mso-wrap-distance-bottom:0pt;mso-wrap-distance-left:9pt;mso-wrap-distance-right:9pt;mso-wrap-distance-top:0pt;z-index:251658240;mso-width-relative:page;mso-height-relative:page;" coordsize="5551170,5903595" editas="canvas" o:gfxdata="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">
                <o:lock v:ext="edit" aspectratio="f"/>
                <v:shape id="_x0000_s1026" o:spid="_x0000_s1026" style="position:absolute;left:0;top:0;height:5903595;width:5551170;" filled="f" stroked="f" coordsize="21600,21600" o:gfxdata="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">
                  <v:fill on="f" focussize="0,0"/>
                  <v:stroke on="f"/>
                  <v:imagedata o:title=""/>
                  <o:lock v:ext="edit" aspectratio="t"/>
                </v:shape>
                <v:shape id="_x0000_s1026" o:spid="_x0000_s1026" o:spt="33" type="#_x0000_t33" style="position:absolute;left:1749722;top:4700798;height:1011704;width:824027;rotation:5898240f;" filled="f" stroked="t" coordsize="21600,21600" o:gfxdata="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o&#10;uMNn2QAAAAoBAAAPAAAAAAAAAAEAIAAAACIAAABkcnMvZG93bnJldi54bWxQSwECFAAUAAAACACH&#10;TuJATSMi4yMCAAAPBAAADgAAAAAAAAABACAAAAAoAQAAZHJzL2Uyb0RvYy54bWxQSwUGAAAAAAYA&#10;BgBZAQAAvQUAAAAA&#10;">
                  <v:fill on="f" focussize="0,0"/>
                  <v:stroke color="#000000 [3213]" joinstyle="round" endarrow="block"/>
                  <v:imagedata o:title=""/>
                  <o:lock v:ext="edit" aspectratio="f"/>
                </v:shape>
                <v:shape id="_x0000_s1026" o:spid="_x0000_s1026" o:spt="33" type="#_x0000_t33" style="position:absolute;left:1403758;top:2022841;height:2034000;width:3319449;" filled="f" stroked="t" coordsize="21600,21600" o:gfxdata="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BKh0z2AAAAAoBAAAPAAAAAAAAAAEAIAAAACIAAABkcnMv&#10;ZG93bnJldi54bWxQSwECFAAUAAAACACHTuJA+/3inwMCAADCAwAADgAAAAAAAAABACAAAAAnAQAA&#10;ZHJzL2Uyb0RvYy54bWxQSwUGAAAAAAYABgBZAQAAnAUAAAAA&#10;">
                  <v:fill on="f" focussize="0,0"/>
                  <v:stroke color="#000000 [3213]" joinstyle="round" endarrow="block"/>
                  <v:imagedata o:title=""/>
                  <o:lock v:ext="edit" aspectratio="f"/>
                </v:shape>
                <v:shape id="_x0000_s1026" o:spid="_x0000_s1026" o:spt="202" type="#_x0000_t202" style="position:absolute;left:2419203;top:1886363;height:338400;width:619318;" fillcolor="#FFFFFF [3201]" filled="t" stroked="f" coordsize="21600,21600" o:gfxdata="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XKnsj0wAAAAoBAAAPAAAAAAAAAAEAIAAAACIA&#10;AABkcnMvZG93bnJldi54bWxQSwECFAAUAAAACACHTuJAqCrfd0cCAABaBAAADgAAAAAAAAABACAA&#10;AAAiAQAAZHJzL2Uyb0RvYy54bWxQSwUGAAAAAAYABgBZAQAA2wUAAAAA&#10;">
                  <v:fill on="t" focussize="0,0"/>
                  <v:stroke on="f" weight="0.5pt"/>
                  <v:imagedata o:title=""/>
                  <o:lock v:ext="edit" aspectratio="f"/>
                  <v:textbox>
                    <w:txbxContent>
                      <w:p>
                        <w:pPr>
                          <w:jc w:val="center"/>
                        </w:pPr>
                        <w:r>
                          <w:rPr>
                            <w:rFonts w:hint="eastAsia"/>
                          </w:rPr>
                          <w:t>不通过</w:t>
                        </w:r>
                      </w:p>
                    </w:txbxContent>
                  </v:textbox>
                </v:shape>
                <v:shape id="_x0000_s1026" o:spid="_x0000_s1026" o:spt="32" type="#_x0000_t32" style="position:absolute;left:3283196;top:4326934;height:0;width:626411;" filled="f" stroked="t" coordsize="21600,21600" o:gfxdata="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MQZTv2AAAAAoBAAAPAAAAAAAAAAEAIAAAACIAAABk&#10;cnMvZG93bnJldi54bWxQSwECFAAUAAAACACHTuJATQnX8AYCAADFAwAADgAAAAAAAAABACAAAAAn&#10;AQAAZHJzL2Uyb0RvYy54bWxQSwUGAAAAAAYABgBZAQAAnwUAAAAA&#10;">
                  <v:fill on="f" focussize="0,0"/>
                  <v:stroke color="#000000 [3213]" joinstyle="round" endarrow="block"/>
                  <v:imagedata o:title=""/>
                  <o:lock v:ext="edit" aspectratio="f"/>
                </v:shape>
                <v:shape id="_x0000_s1026" o:spid="_x0000_s1026" o:spt="32" type="#_x0000_t32" style="position:absolute;left:1425603;top:4326934;height:0;width:626411;" filled="f" stroked="t" coordsize="21600,21600" o:gfxdata="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MQZTv2AAAAAoBAAAPAAAAAAAAAAEAIAAAACIAAABkcnMv&#10;ZG93bnJldi54bWxQSwECFAAUAAAACACHTuJAsHc9EAMCAADFAwAADgAAAAAAAAABACAAAAAnAQAA&#10;ZHJzL2Uyb0RvYy54bWxQSwUGAAAAAAYABgBZAQAAnAUAAAAA&#10;">
                  <v:fill on="f" focussize="0,0"/>
                  <v:stroke color="#000000 [3213]" joinstyle="round" endarrow="block"/>
                  <v:imagedata o:title=""/>
                  <o:lock v:ext="edit" aspectratio="f"/>
                </v:shape>
                <v:shape id="_x0000_s1026" o:spid="_x0000_s1026" o:spt="32" type="#_x0000_t32" style="position:absolute;left:827998;top:4794638;height:568983;width:0;" filled="f" stroked="t" coordsize="21600,21600" o:gfxdata="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MQZTv2AAAAAoBAAAPAAAAAAAAAAEAIAAAACIAAABkcnMvZG93bnJldi54bWxQSwECFAAUAAAA&#10;CACHTuJAUJ1G1e4BAACIAwAADgAAAAAAAAABACAAAAAnAQAAZHJzL2Uyb0RvYy54bWxQSwUGAAAA&#10;AAYABgBZAQAAhwUAAAAA&#10;">
                  <v:fill on="f" focussize="0,0"/>
                  <v:stroke color="#000000 [3213]" joinstyle="round" endarrow="block"/>
                  <v:imagedata o:title=""/>
                  <o:lock v:ext="edit" aspectratio="f"/>
                </v:shape>
                <v:shape id="_x0000_s1026" o:spid="_x0000_s1026" o:spt="32" type="#_x0000_t32" style="position:absolute;left:806398;top:2491127;height:568983;width:0;" filled="f" stroked="t" coordsize="21600,21600" o:gfxdata="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jEGU79gAAAAKAQAADwAAAAAAAAABACAAAAAiAAAAZHJzL2Rvd25yZXYueG1sUEsBAhQAFAAAAAgA&#10;h07iQNafttnsAQAAiAMAAA4AAAAAAAAAAQAgAAAAJwEAAGRycy9lMm9Eb2MueG1sUEsFBgAAAAAG&#10;AAYAWQEAAIUFAAAAAA==&#10;">
                  <v:fill on="f" focussize="0,0"/>
                  <v:stroke color="#000000 [3213]" joinstyle="round" endarrow="block"/>
                  <v:imagedata o:title=""/>
                  <o:lock v:ext="edit" aspectratio="f"/>
                </v:shape>
                <v:roundrect id="_x0000_s1026" o:spid="_x0000_s1026" o:spt="2" style="position:absolute;left:1;top:0;height:496800;width:1598400;v-text-anchor:middle;" fillcolor="#FFC000" filled="t" stroked="f" coordsize="21600,21600" arcsize="0.166666666666667" o:gfxdata="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">
                  <v:fill on="t" focussize="0,0"/>
                  <v:stroke on="f" weight="2pt"/>
                  <v:imagedata o:title=""/>
                  <o:lock v:ext="edit" aspectratio="f"/>
                  <v:shadow on="t" color="#000000" opacity="26214f" offset="2.12133858267717pt,2.12133858267717pt" origin="-32768f,-32768f" matrix="65536f,0f,0f,65536f"/>
                  <v:textbox inset="0mm,0mm,0mm,0mm">
                    <w:txbxContent>
                      <w:p>
                        <w:pPr>
                          <w:jc w:val="center"/>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交易主体信息库注册</w:t>
                        </w:r>
                      </w:p>
                      <w:p>
                        <w:pPr>
                          <w:jc w:val="center"/>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（已注册的可跳过此环节）</w:t>
                        </w:r>
                      </w:p>
                    </w:txbxContent>
                  </v:textbox>
                </v:roundrect>
                <v:roundrect id="_x0000_s1026" o:spid="_x0000_s1026" o:spt="2" style="position:absolute;left:1;top:777600;height:496800;width:1598400;v-text-anchor:middle;" fillcolor="#FFC000" filled="t" stroked="f" coordsize="21600,21600" arcsize="0.166666666666667" o:gfxdata="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">
                  <v:fill on="t" focussize="0,0"/>
                  <v:stroke on="f" weight="2pt"/>
                  <v:imagedata o:title=""/>
                  <o:lock v:ext="edit" aspectratio="f"/>
                  <v:shadow on="t" color="#000000" opacity="26214f" offset="2.12133858267717pt,2.12133858267717pt" origin="-32768f,-32768f" matrix="65536f,0f,0f,65536f"/>
                  <v:textbox inset="0mm,0mm,0mm,0mm">
                    <w:txbxContent>
                      <w:p>
                        <w:pPr>
                          <w:jc w:val="center"/>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征集入库申请</w:t>
                        </w:r>
                      </w:p>
                    </w:txbxContent>
                  </v:textbox>
                </v:roundrect>
                <v:shape id="_x0000_s1026" o:spid="_x0000_s1026" o:spt="4" type="#_x0000_t4" style="position:absolute;left:201573;top:1562392;height:928735;width:1202428;v-text-anchor:middle;" fillcolor="#558ED5 [1951]" filled="t" stroked="f" coordsize="21600,21600" o:gfxdata="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">
                  <v:fill on="t" focussize="0,0"/>
                  <v:stroke on="f" weight="2pt"/>
                  <v:imagedata o:title=""/>
                  <o:lock v:ext="edit" aspectratio="f"/>
                  <v:shadow on="t" color="#000000" opacity="26214f" offset="2.12133858267717pt,2.12133858267717pt" origin="-32768f,-32768f" matrix="65536f,0f,0f,65536f"/>
                  <v:textbox inset="0mm,0mm,0mm,0mm">
                    <w:txbxContent>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审核入库申请</w:t>
                        </w:r>
                      </w:p>
                    </w:txbxContent>
                  </v:textbox>
                </v:shape>
                <v:shape id="_x0000_s1026" o:spid="_x0000_s1026" o:spt="202" type="#_x0000_t202" style="position:absolute;left:536074;top:2596503;height:254697;width:540069;" fillcolor="#FFFFFF [3201]" filled="t" stroked="f" coordsize="21600,21600" o:gfxdata="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Vyp7I9MAAAAKAQAADwAAAAAAAAABACAAAAAiAAAAZHJz&#10;L2Rvd25yZXYueG1sUEsBAhQAFAAAAAgAh07iQLj5ha5CAgAAWQQAAA4AAAAAAAAAAQAgAAAAIgEA&#10;AGRycy9lMm9Eb2MueG1sUEsFBgAAAAAGAAYAWQEAANYFAAAAAA==&#10;">
                  <v:fill on="t" focussize="0,0"/>
                  <v:stroke on="f" weight="0.5pt"/>
                  <v:imagedata o:title=""/>
                  <o:lock v:ext="edit" aspectratio="f"/>
                  <v:textbox>
                    <w:txbxContent>
                      <w:p>
                        <w:pPr>
                          <w:jc w:val="center"/>
                        </w:pPr>
                        <w:r>
                          <w:rPr>
                            <w:rFonts w:hint="eastAsia"/>
                          </w:rPr>
                          <w:t>通过</w:t>
                        </w:r>
                      </w:p>
                    </w:txbxContent>
                  </v:textbox>
                </v:shape>
                <v:roundrect id="_x0000_s1026" o:spid="_x0000_s1026" o:spt="2" style="position:absolute;left:7201;top:3059962;height:496800;width:1598400;v-text-anchor:middle;" fillcolor="#558ED5 [1951]" filled="t" stroked="f" coordsize="21600,21600" arcsize="0.166666666666667" o:gfxdata="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Dm4cpPXAAAA&#10;CgEAAA8AAAAAAAAAAQAgAAAAIgAAAGRycy9kb3ducmV2LnhtbFBLAQIUABQAAAAIAIdO4kCSBpsN&#10;yQIAAGMFAAAOAAAAAAAAAAEAIAAAACYBAABkcnMvZTJvRG9jLnhtbFBLBQYAAAAABgAGAFkBAABh&#10;BgAAAAA=&#10;">
                  <v:fill on="t" focussize="0,0"/>
                  <v:stroke on="f" weight="2pt"/>
                  <v:imagedata o:title=""/>
                  <o:lock v:ext="edit" aspectratio="f"/>
                  <v:shadow on="t" color="#000000" opacity="26214f" offset="2.12133858267717pt,2.12133858267717pt" origin="-32768f,-32768f" matrix="65536f,0f,0f,65536f"/>
                  <v:textbox inset="0mm,0mm,0mm,0mm">
                    <w:txbxContent>
                      <w:p>
                        <w:pPr>
                          <w:jc w:val="center"/>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公示</w:t>
                        </w:r>
                      </w:p>
                    </w:txbxContent>
                  </v:textbox>
                </v:roundrect>
                <v:shape id="_x0000_s1026" o:spid="_x0000_s1026" o:spt="4" type="#_x0000_t4" style="position:absolute;left:223173;top:3851992;height:928735;width:1202428;v-text-anchor:middle;" fillcolor="#558ED5 [1951]" filled="t" stroked="f" coordsize="21600,21600" o:gfxdata="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">
                  <v:fill on="t" focussize="0,0"/>
                  <v:stroke on="f" weight="2pt"/>
                  <v:imagedata o:title=""/>
                  <o:lock v:ext="edit" aspectratio="f"/>
                  <v:shadow on="t" color="#000000" opacity="26214f" offset="2.12133858267717pt,2.12133858267717pt" origin="-32768f,-32768f" matrix="65536f,0f,0f,65536f"/>
                  <v:textbox inset="0mm,0mm,0mm,0mm">
                    <w:txbxContent>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是否收到异议？</w:t>
                        </w:r>
                      </w:p>
                    </w:txbxContent>
                  </v:textbox>
                </v:shape>
                <v:shape id="_x0000_s1026" o:spid="_x0000_s1026" o:spt="202" type="#_x0000_t202" style="position:absolute;left:777674;top:4938139;height:231401;width:144094;" fillcolor="#FFFFFF [3201]" filled="t" stroked="f" coordsize="21600,21600" o:gfxdata="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EZGs6vVAAAACgEAAA8AAAAAAAAAAQAgAAAAIgAAAGRycy9k&#10;b3ducmV2LnhtbFBLAQIUABQAAAAIAIdO4kB3/0ZpPgIAAEsEAAAOAAAAAAAAAAEAIAAAACQBAABk&#10;cnMvZTJvRG9jLnhtbFBLBQYAAAAABgAGAFkBAADUBQAAAAA=&#10;">
                  <v:fill on="t" focussize="0,0"/>
                  <v:stroke on="f" weight="0.5pt"/>
                  <v:imagedata o:title=""/>
                  <o:lock v:ext="edit" aspectratio="f"/>
                  <v:textbox inset="0mm,0mm,0mm,0mm">
                    <w:txbxContent>
                      <w:p>
                        <w:pPr>
                          <w:jc w:val="center"/>
                        </w:pPr>
                        <w:r>
                          <w:rPr>
                            <w:rFonts w:hint="eastAsia"/>
                          </w:rPr>
                          <w:t>否</w:t>
                        </w:r>
                      </w:p>
                    </w:txbxContent>
                  </v:textbox>
                </v:shape>
                <v:shape id="_x0000_s1026" o:spid="_x0000_s1026" o:spt="202" type="#_x0000_t202" style="position:absolute;left:3484712;top:4230464;height:195054;width:208888;" fillcolor="#FFFFFF [3201]" filled="t" stroked="f" coordsize="21600,21600" o:gfxdata="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GRrOr1QAAAAoBAAAPAAAAAAAAAAEAIAAAACIAAABkcnMvZG93&#10;bnJldi54bWxQSwECFAAUAAAACACHTuJArKQrMTwCAABMBAAADgAAAAAAAAABACAAAAAkAQAAZHJz&#10;L2Uyb0RvYy54bWxQSwUGAAAAAAYABgBZAQAA0gUAAAAA&#10;">
                  <v:fill on="t" focussize="0,0"/>
                  <v:stroke on="f" weight="0.5pt"/>
                  <v:imagedata o:title=""/>
                  <o:lock v:ext="edit" aspectratio="f"/>
                  <v:textbox inset="0mm,0mm,0mm,0mm">
                    <w:txbxContent>
                      <w:p>
                        <w:pPr>
                          <w:jc w:val="center"/>
                        </w:pPr>
                        <w:r>
                          <w:rPr>
                            <w:rFonts w:hint="eastAsia"/>
                          </w:rPr>
                          <w:t>是</w:t>
                        </w:r>
                      </w:p>
                    </w:txbxContent>
                  </v:textbox>
                </v:shape>
                <v:shape id="_x0000_s1026" o:spid="_x0000_s1026" o:spt="4" type="#_x0000_t4" style="position:absolute;left:2066373;top:3865902;height:928735;width:1202428;v-text-anchor:middle;" fillcolor="#558ED5 [1951]" filled="t" stroked="f" coordsize="21600,21600" o:gfxdata="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">
                  <v:fill on="t" focussize="0,0"/>
                  <v:stroke on="f" weight="2pt"/>
                  <v:imagedata o:title=""/>
                  <o:lock v:ext="edit" aspectratio="f"/>
                  <v:shadow on="t" color="#000000" opacity="26214f" offset="2.12133858267717pt,2.12133858267717pt" origin="-32768f,-32768f" matrix="65536f,0f,0f,65536f"/>
                  <v:textbox inset="0mm,0mm,0mm,0mm">
                    <w:txbxContent>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异议是否成立？</w:t>
                        </w:r>
                      </w:p>
                    </w:txbxContent>
                  </v:textbox>
                </v:shape>
                <v:shape id="_x0000_s1026" o:spid="_x0000_s1026" o:spt="202" type="#_x0000_t202" style="position:absolute;left:2602882;top:5068057;height:216506;width:151206;" fillcolor="#FFFFFF [3201]" filled="t" stroked="f" coordsize="21600,21600" o:gfxdata="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EZGs6vVAAAACgEAAA8AAAAAAAAAAQAgAAAAIgAAAGRycy9kb3du&#10;cmV2LnhtbFBLAQIUABQAAAAIAIdO4kCagEGYOwIAAEwEAAAOAAAAAAAAAAEAIAAAACQBAABkcnMv&#10;ZTJvRG9jLnhtbFBLBQYAAAAABgAGAFkBAADRBQAAAAA=&#10;">
                  <v:fill on="t" focussize="0,0"/>
                  <v:stroke on="f" weight="0.5pt"/>
                  <v:imagedata o:title=""/>
                  <o:lock v:ext="edit" aspectratio="f"/>
                  <v:textbox inset="0mm,0mm,0mm,0mm">
                    <w:txbxContent>
                      <w:p>
                        <w:pPr>
                          <w:jc w:val="center"/>
                        </w:pPr>
                        <w:r>
                          <w:rPr>
                            <w:rFonts w:hint="eastAsia"/>
                          </w:rPr>
                          <w:t>否</w:t>
                        </w:r>
                      </w:p>
                    </w:txbxContent>
                  </v:textbox>
                </v:shape>
                <v:roundrect id="_x0000_s1026" o:spid="_x0000_s1026" o:spt="2" style="position:absolute;left:3916807;top:4060005;height:496800;width:1598400;v-text-anchor:middle;" fillcolor="#558ED5 [1951]" filled="t" stroked="f" coordsize="21600,21600" arcsize="0.166666666666667" o:gfxdata="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">
                  <v:fill on="t" focussize="0,0"/>
                  <v:stroke on="f" weight="2pt"/>
                  <v:imagedata o:title=""/>
                  <o:lock v:ext="edit" aspectratio="f"/>
                  <v:shadow on="t" color="#000000" opacity="26214f" offset="2.12133858267717pt,2.12133858267717pt" origin="-32768f,-32768f" matrix="65536f,0f,0f,65536f"/>
                  <v:textbox inset="0mm,0mm,0mm,0mm">
                    <w:txbxContent>
                      <w:p>
                        <w:pPr>
                          <w:jc w:val="center"/>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查看不通过理由</w:t>
                        </w:r>
                      </w:p>
                    </w:txbxContent>
                  </v:textbox>
                </v:roundrect>
                <v:roundrect id="_x0000_s1026" o:spid="_x0000_s1026" o:spt="2" style="position:absolute;left:57483;top:5370264;height:496800;width:1598400;v-text-anchor:middle;" fillcolor="#558ED5 [1951]" filled="t" stroked="f" coordsize="21600,21600" arcsize="0.166666666666667" o:gfxdata="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">
                  <v:fill on="t" focussize="0,0"/>
                  <v:stroke on="f" weight="2pt"/>
                  <v:imagedata o:title=""/>
                  <o:lock v:ext="edit" aspectratio="f"/>
                  <v:shadow on="t" color="#000000" opacity="26214f" offset="2.12133858267717pt,2.12133858267717pt" origin="-32768f,-32768f" matrix="65536f,0f,0f,65536f"/>
                  <v:textbox inset="0mm,0mm,0mm,0mm">
                    <w:txbxContent>
                      <w:p>
                        <w:pPr>
                          <w:jc w:val="center"/>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正式入库</w:t>
                        </w:r>
                      </w:p>
                    </w:txbxContent>
                  </v:textbox>
                </v:roundrect>
                <v:shape id="_x0000_s1026" o:spid="_x0000_s1026" o:spt="32" type="#_x0000_t32" style="position:absolute;left:799201;top:496800;height:280800;width:0;" filled="f" stroked="t" coordsize="21600,21600" o:gfxdata="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jEGU79gAAAAKAQAADwAAAAAAAAABACAAAAAiAAAAZHJzL2Rv&#10;d25yZXYueG1sUEsBAhQAFAAAAAgAh07iQIhVHI0BAgAAxwMAAA4AAAAAAAAAAQAgAAAAJwEAAGRy&#10;cy9lMm9Eb2MueG1sUEsFBgAAAAAGAAYAWQEAAJoFAAAAAA==&#10;">
                  <v:fill on="f" focussize="0,0"/>
                  <v:stroke color="#000000 [3213]" joinstyle="round" endarrow="block"/>
                  <v:imagedata o:title=""/>
                  <o:lock v:ext="edit" aspectratio="f"/>
                </v:shape>
                <v:shape id="_x0000_s1026" o:spid="_x0000_s1026" o:spt="32" type="#_x0000_t32" style="position:absolute;left:799201;top:1274363;height:280800;width:0;" filled="f" stroked="t" coordsize="21600,21600" o:gfxdata="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jEGU79gAAAAKAQAADwAAAAAAAAABACAAAAAiAAAAZHJzL2Rvd25yZXYueG1sUEsBAhQAFAAAAAgA&#10;h07iQJF7GvTsAQAAiAMAAA4AAAAAAAAAAQAgAAAAJwEAAGRycy9lMm9Eb2MueG1sUEsFBgAAAAAG&#10;AAYAWQEAAIUFAAAAAA==&#10;">
                  <v:fill on="f" focussize="0,0"/>
                  <v:stroke color="#000000 [3213]" joinstyle="round" endarrow="block"/>
                  <v:imagedata o:title=""/>
                  <o:lock v:ext="edit" aspectratio="f"/>
                </v:shape>
                <v:shape id="_x0000_s1026" o:spid="_x0000_s1026" o:spt="32" type="#_x0000_t32" style="position:absolute;left:820801;top:3556653;height:280800;width:0;" filled="f" stroked="t" coordsize="21600,21600" o:gfxdata="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M&#10;QZTv2AAAAAoBAAAPAAAAAAAAAAEAIAAAACIAAABkcnMvZG93bnJldi54bWxQSwECFAAUAAAACACH&#10;TuJAljBu1esBAACIAwAADgAAAAAAAAABACAAAAAnAQAAZHJzL2Uyb0RvYy54bWxQSwUGAAAAAAYA&#10;BgBZAQAAhAUAAAAA&#10;">
                  <v:fill on="f" focussize="0,0"/>
                  <v:stroke color="#000000 [3213]" joinstyle="round" endarrow="block"/>
                  <v:imagedata o:title=""/>
                  <o:lock v:ext="edit" aspectratio="f"/>
                </v:shape>
                <v:shape id="_x0000_s1026" o:spid="_x0000_s1026" o:spt="202" type="#_x0000_t202" style="position:absolute;left:1655883;top:4218348;height:195054;width:208888;" fillcolor="#FFFFFF [3201]" filled="t" stroked="f" coordsize="21600,21600" o:gfxdata="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EZGs6vVAAAACgEAAA8AAAAAAAAAAQAgAAAAIgAAAGRycy9k&#10;b3ducmV2LnhtbFBLAQIUABQAAAAIAIdO4kC9tMzlPgIAAEwEAAAOAAAAAAAAAAEAIAAAACQBAABk&#10;cnMvZTJvRG9jLnhtbFBLBQYAAAAABgAGAFkBAADUBQAAAAA=&#10;">
                  <v:fill on="t" focussize="0,0"/>
                  <v:stroke on="f" weight="0.5pt"/>
                  <v:imagedata o:title=""/>
                  <o:lock v:ext="edit" aspectratio="f"/>
                  <v:textbox inset="0mm,0mm,0mm,0mm">
                    <w:txbxContent>
                      <w:p>
                        <w:pPr>
                          <w:jc w:val="center"/>
                        </w:pPr>
                        <w:r>
                          <w:rPr>
                            <w:rFonts w:hint="eastAsia"/>
                          </w:rPr>
                          <w:t>是</w:t>
                        </w:r>
                      </w:p>
                    </w:txbxContent>
                  </v:textbox>
                </v:shape>
                <w10:wrap type="square"/>
              </v:group>
            </w:pict>
          </mc:Fallback>
        </mc:AlternateContent>
      </w:r>
      <w:r>
        <w:rPr>
          <w:rFonts w:hint="eastAsia"/>
          <w:b/>
          <w:sz w:val="28"/>
          <w:szCs w:val="30"/>
        </w:rPr>
        <w:t>定点采购供应商征集入库流程</w:t>
      </w:r>
    </w:p>
    <w:p>
      <w:pPr>
        <w:spacing w:line="360" w:lineRule="auto"/>
        <w:rPr>
          <w:b/>
          <w:sz w:val="24"/>
          <w:szCs w:val="24"/>
        </w:rPr>
      </w:pPr>
      <w:r>
        <w:rPr>
          <w:rFonts w:hint="eastAsia"/>
          <w:b/>
          <w:sz w:val="24"/>
          <w:szCs w:val="24"/>
        </w:rPr>
        <w:t>黄色表示供应商参与定点采购供应商征集入库的相关操作。</w:t>
      </w:r>
    </w:p>
    <w:p>
      <w:pPr>
        <w:spacing w:line="360" w:lineRule="auto"/>
        <w:rPr>
          <w:b/>
          <w:sz w:val="24"/>
          <w:szCs w:val="24"/>
        </w:rPr>
      </w:pPr>
    </w:p>
    <w:p>
      <w:pPr>
        <w:pStyle w:val="13"/>
        <w:numPr>
          <w:ilvl w:val="0"/>
          <w:numId w:val="1"/>
        </w:numPr>
        <w:spacing w:line="360" w:lineRule="auto"/>
        <w:ind w:firstLineChars="0"/>
        <w:rPr>
          <w:b/>
          <w:sz w:val="28"/>
          <w:szCs w:val="24"/>
        </w:rPr>
      </w:pPr>
      <w:r>
        <w:rPr>
          <w:rFonts w:hint="eastAsia"/>
          <w:b/>
          <w:sz w:val="28"/>
          <w:szCs w:val="24"/>
        </w:rPr>
        <w:t>交易主体信息库注册</w:t>
      </w:r>
    </w:p>
    <w:p>
      <w:pPr>
        <w:pStyle w:val="13"/>
        <w:numPr>
          <w:ilvl w:val="0"/>
          <w:numId w:val="2"/>
        </w:numPr>
        <w:spacing w:line="360" w:lineRule="auto"/>
        <w:ind w:left="426" w:hanging="426" w:firstLineChars="0"/>
        <w:rPr>
          <w:rFonts w:hint="eastAsia"/>
          <w:sz w:val="24"/>
          <w:szCs w:val="24"/>
        </w:rPr>
      </w:pPr>
      <w:r>
        <w:rPr>
          <w:rFonts w:hint="eastAsia"/>
          <w:sz w:val="24"/>
          <w:szCs w:val="24"/>
        </w:rPr>
        <w:t>供应商在佛山市公共资源交易信息化综合平台供应商主体信息库进行注册，注册时用户类别选择采购类-采购供应商。</w:t>
      </w:r>
    </w:p>
    <w:p>
      <w:pPr>
        <w:pStyle w:val="13"/>
        <w:numPr>
          <w:ilvl w:val="0"/>
          <w:numId w:val="2"/>
        </w:numPr>
        <w:spacing w:line="360" w:lineRule="auto"/>
        <w:ind w:left="426" w:hanging="426" w:firstLineChars="0"/>
        <w:rPr>
          <w:rFonts w:hint="eastAsia"/>
          <w:sz w:val="24"/>
          <w:szCs w:val="24"/>
        </w:rPr>
      </w:pPr>
      <w:r>
        <w:rPr>
          <w:rFonts w:hint="eastAsia"/>
          <w:sz w:val="24"/>
          <w:szCs w:val="24"/>
        </w:rPr>
        <w:t>交易主体信息库注册的具体操作指引详见佛山市公共资源交易网-监督监管-</w:t>
      </w:r>
      <w:r>
        <w:fldChar w:fldCharType="begin"/>
      </w:r>
      <w:r>
        <w:instrText xml:space="preserve"> HYPERLINK "http://ggzy.foshan.gov.cn/jdjg/ztxxk/rkzy/" </w:instrText>
      </w:r>
      <w:r>
        <w:fldChar w:fldCharType="separate"/>
      </w:r>
      <w:r>
        <w:rPr>
          <w:rStyle w:val="9"/>
          <w:rFonts w:hint="eastAsia"/>
          <w:sz w:val="24"/>
          <w:szCs w:val="24"/>
        </w:rPr>
        <w:t>入库指引</w:t>
      </w:r>
      <w:r>
        <w:rPr>
          <w:rStyle w:val="9"/>
          <w:rFonts w:hint="eastAsia"/>
          <w:sz w:val="24"/>
          <w:szCs w:val="24"/>
        </w:rPr>
        <w:fldChar w:fldCharType="end"/>
      </w:r>
      <w:r>
        <w:rPr>
          <w:rFonts w:hint="eastAsia"/>
          <w:sz w:val="24"/>
          <w:szCs w:val="24"/>
        </w:rPr>
        <w:t>（网址：</w:t>
      </w:r>
      <w:r>
        <w:fldChar w:fldCharType="begin"/>
      </w:r>
      <w:r>
        <w:instrText xml:space="preserve"> HYPERLINK "http://ggzy.foshan.gov.cn" </w:instrText>
      </w:r>
      <w:r>
        <w:fldChar w:fldCharType="separate"/>
      </w:r>
      <w:r>
        <w:rPr>
          <w:rStyle w:val="9"/>
          <w:rFonts w:hint="eastAsia"/>
          <w:sz w:val="24"/>
          <w:szCs w:val="24"/>
        </w:rPr>
        <w:t>http://ggzy.foshan.gov.cn</w:t>
      </w:r>
      <w:r>
        <w:rPr>
          <w:rStyle w:val="9"/>
          <w:rFonts w:hint="eastAsia"/>
          <w:sz w:val="24"/>
          <w:szCs w:val="24"/>
        </w:rPr>
        <w:fldChar w:fldCharType="end"/>
      </w:r>
      <w:r>
        <w:rPr>
          <w:rFonts w:hint="eastAsia"/>
          <w:sz w:val="24"/>
          <w:szCs w:val="24"/>
        </w:rPr>
        <w:t>）。</w:t>
      </w:r>
    </w:p>
    <w:p>
      <w:pPr>
        <w:pStyle w:val="13"/>
        <w:numPr>
          <w:ilvl w:val="0"/>
          <w:numId w:val="2"/>
        </w:numPr>
        <w:spacing w:line="360" w:lineRule="auto"/>
        <w:ind w:left="426" w:hanging="426" w:firstLineChars="0"/>
        <w:rPr>
          <w:rFonts w:hint="eastAsia"/>
          <w:sz w:val="24"/>
          <w:szCs w:val="24"/>
        </w:rPr>
      </w:pPr>
      <w:r>
        <w:rPr>
          <w:rFonts w:hint="eastAsia"/>
          <w:sz w:val="24"/>
          <w:szCs w:val="24"/>
        </w:rPr>
        <w:t>交易主体信息库注册时需要申请GDCA数字证书，具体办理指南详见佛山市公共资源交易网-交易指南-</w:t>
      </w:r>
      <w:r>
        <w:fldChar w:fldCharType="begin"/>
      </w:r>
      <w:r>
        <w:instrText xml:space="preserve"> HYPERLINK "http://ggzy.foshan.gov.cn/bszn/bszn_1108593/201807/t20180715_7157722.html" </w:instrText>
      </w:r>
      <w:r>
        <w:fldChar w:fldCharType="separate"/>
      </w:r>
      <w:r>
        <w:rPr>
          <w:rStyle w:val="9"/>
          <w:rFonts w:hint="eastAsia"/>
          <w:sz w:val="24"/>
          <w:szCs w:val="24"/>
        </w:rPr>
        <w:t>GDCA证书办理指南</w:t>
      </w:r>
      <w:r>
        <w:rPr>
          <w:rStyle w:val="9"/>
          <w:rFonts w:hint="eastAsia"/>
          <w:sz w:val="24"/>
          <w:szCs w:val="24"/>
        </w:rPr>
        <w:fldChar w:fldCharType="end"/>
      </w:r>
      <w:r>
        <w:rPr>
          <w:rFonts w:hint="eastAsia"/>
          <w:sz w:val="24"/>
          <w:szCs w:val="24"/>
        </w:rPr>
        <w:t>（网址：</w:t>
      </w:r>
      <w:r>
        <w:fldChar w:fldCharType="begin"/>
      </w:r>
      <w:r>
        <w:instrText xml:space="preserve"> HYPERLINK "http://ggzy.foshan.gov.cn" </w:instrText>
      </w:r>
      <w:r>
        <w:fldChar w:fldCharType="separate"/>
      </w:r>
      <w:r>
        <w:rPr>
          <w:rStyle w:val="9"/>
          <w:rFonts w:hint="eastAsia"/>
          <w:sz w:val="24"/>
          <w:szCs w:val="24"/>
        </w:rPr>
        <w:t>http://ggzy.foshan.gov.cn</w:t>
      </w:r>
      <w:r>
        <w:rPr>
          <w:rStyle w:val="9"/>
          <w:rFonts w:hint="eastAsia"/>
          <w:sz w:val="24"/>
          <w:szCs w:val="24"/>
        </w:rPr>
        <w:fldChar w:fldCharType="end"/>
      </w:r>
      <w:r>
        <w:rPr>
          <w:rFonts w:hint="eastAsia"/>
          <w:sz w:val="24"/>
          <w:szCs w:val="24"/>
        </w:rPr>
        <w:t>）。</w:t>
      </w:r>
    </w:p>
    <w:tbl>
      <w:tblPr>
        <w:tblStyle w:val="12"/>
        <w:tblW w:w="882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3"/>
        <w:gridCol w:w="1878"/>
        <w:gridCol w:w="3573"/>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3" w:hRule="atLeast"/>
        </w:trPr>
        <w:tc>
          <w:tcPr>
            <w:tcW w:w="1383" w:type="dxa"/>
            <w:shd w:val="clear" w:color="auto" w:fill="D8D8D8" w:themeFill="background1" w:themeFillShade="D9"/>
            <w:vAlign w:val="center"/>
          </w:tcPr>
          <w:p>
            <w:pPr>
              <w:pStyle w:val="13"/>
              <w:ind w:firstLine="0" w:firstLineChars="0"/>
              <w:jc w:val="center"/>
              <w:rPr>
                <w:b/>
                <w:sz w:val="24"/>
                <w:szCs w:val="24"/>
              </w:rPr>
            </w:pPr>
            <w:r>
              <w:rPr>
                <w:rFonts w:hint="eastAsia"/>
                <w:b/>
                <w:sz w:val="24"/>
                <w:szCs w:val="24"/>
              </w:rPr>
              <w:t>受理点</w:t>
            </w:r>
          </w:p>
        </w:tc>
        <w:tc>
          <w:tcPr>
            <w:tcW w:w="1878" w:type="dxa"/>
            <w:shd w:val="clear" w:color="auto" w:fill="D8D8D8" w:themeFill="background1" w:themeFillShade="D9"/>
            <w:vAlign w:val="center"/>
          </w:tcPr>
          <w:p>
            <w:pPr>
              <w:pStyle w:val="13"/>
              <w:ind w:firstLine="0" w:firstLineChars="0"/>
              <w:jc w:val="center"/>
              <w:rPr>
                <w:b/>
                <w:sz w:val="24"/>
                <w:szCs w:val="24"/>
              </w:rPr>
            </w:pPr>
            <w:r>
              <w:rPr>
                <w:rFonts w:hint="eastAsia"/>
                <w:b/>
                <w:sz w:val="24"/>
                <w:szCs w:val="24"/>
              </w:rPr>
              <w:t>咨询电话</w:t>
            </w:r>
          </w:p>
        </w:tc>
        <w:tc>
          <w:tcPr>
            <w:tcW w:w="3573" w:type="dxa"/>
            <w:shd w:val="clear" w:color="auto" w:fill="D8D8D8" w:themeFill="background1" w:themeFillShade="D9"/>
            <w:vAlign w:val="center"/>
          </w:tcPr>
          <w:p>
            <w:pPr>
              <w:pStyle w:val="13"/>
              <w:ind w:firstLine="0" w:firstLineChars="0"/>
              <w:jc w:val="center"/>
              <w:rPr>
                <w:b/>
                <w:sz w:val="24"/>
                <w:szCs w:val="24"/>
              </w:rPr>
            </w:pPr>
            <w:r>
              <w:rPr>
                <w:rFonts w:hint="eastAsia"/>
                <w:b/>
                <w:sz w:val="24"/>
                <w:szCs w:val="24"/>
              </w:rPr>
              <w:t>地址</w:t>
            </w:r>
          </w:p>
        </w:tc>
        <w:tc>
          <w:tcPr>
            <w:tcW w:w="1995" w:type="dxa"/>
            <w:shd w:val="clear" w:color="auto" w:fill="D8D8D8" w:themeFill="background1" w:themeFillShade="D9"/>
            <w:vAlign w:val="center"/>
          </w:tcPr>
          <w:p>
            <w:pPr>
              <w:pStyle w:val="13"/>
              <w:ind w:firstLine="0" w:firstLineChars="0"/>
              <w:jc w:val="center"/>
              <w:rPr>
                <w:b/>
                <w:sz w:val="24"/>
                <w:szCs w:val="24"/>
              </w:rPr>
            </w:pPr>
            <w:r>
              <w:rPr>
                <w:rFonts w:hint="eastAsia"/>
                <w:b/>
                <w:sz w:val="24"/>
                <w:szCs w:val="24"/>
              </w:rPr>
              <w:t>受理时间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383" w:type="dxa"/>
            <w:vAlign w:val="center"/>
          </w:tcPr>
          <w:p>
            <w:pPr>
              <w:pStyle w:val="13"/>
              <w:ind w:firstLine="0" w:firstLineChars="0"/>
              <w:jc w:val="center"/>
              <w:rPr>
                <w:rFonts w:hint="eastAsia"/>
                <w:sz w:val="24"/>
                <w:szCs w:val="24"/>
              </w:rPr>
            </w:pPr>
            <w:r>
              <w:rPr>
                <w:rFonts w:hint="eastAsia"/>
                <w:sz w:val="24"/>
                <w:szCs w:val="24"/>
              </w:rPr>
              <w:t>市直及</w:t>
            </w:r>
          </w:p>
          <w:p>
            <w:pPr>
              <w:pStyle w:val="13"/>
              <w:ind w:firstLine="0" w:firstLineChars="0"/>
              <w:jc w:val="center"/>
              <w:rPr>
                <w:sz w:val="24"/>
                <w:szCs w:val="24"/>
              </w:rPr>
            </w:pPr>
            <w:r>
              <w:rPr>
                <w:rFonts w:hint="eastAsia"/>
                <w:sz w:val="24"/>
                <w:szCs w:val="24"/>
              </w:rPr>
              <w:t>禅城区</w:t>
            </w:r>
          </w:p>
        </w:tc>
        <w:tc>
          <w:tcPr>
            <w:tcW w:w="1878" w:type="dxa"/>
            <w:vAlign w:val="center"/>
          </w:tcPr>
          <w:p>
            <w:pPr>
              <w:pStyle w:val="13"/>
              <w:ind w:firstLine="0" w:firstLineChars="0"/>
              <w:jc w:val="center"/>
              <w:rPr>
                <w:rFonts w:hint="eastAsia"/>
                <w:sz w:val="24"/>
                <w:szCs w:val="24"/>
              </w:rPr>
            </w:pPr>
            <w:r>
              <w:rPr>
                <w:rFonts w:hint="eastAsia"/>
                <w:sz w:val="24"/>
                <w:szCs w:val="24"/>
              </w:rPr>
              <w:t>0757-82917556</w:t>
            </w:r>
          </w:p>
          <w:p>
            <w:pPr>
              <w:pStyle w:val="13"/>
              <w:ind w:firstLine="0" w:firstLineChars="0"/>
              <w:jc w:val="center"/>
              <w:rPr>
                <w:sz w:val="24"/>
                <w:szCs w:val="24"/>
              </w:rPr>
            </w:pPr>
            <w:r>
              <w:rPr>
                <w:rFonts w:hint="eastAsia"/>
                <w:sz w:val="24"/>
                <w:szCs w:val="24"/>
              </w:rPr>
              <w:t>0757-83300516</w:t>
            </w:r>
          </w:p>
        </w:tc>
        <w:tc>
          <w:tcPr>
            <w:tcW w:w="3573" w:type="dxa"/>
            <w:vAlign w:val="center"/>
          </w:tcPr>
          <w:p>
            <w:pPr>
              <w:pStyle w:val="13"/>
              <w:ind w:firstLine="0" w:firstLineChars="0"/>
              <w:rPr>
                <w:sz w:val="24"/>
                <w:szCs w:val="24"/>
              </w:rPr>
            </w:pPr>
            <w:r>
              <w:rPr>
                <w:rFonts w:hint="eastAsia"/>
                <w:sz w:val="24"/>
                <w:szCs w:val="24"/>
              </w:rPr>
              <w:t>佛山市禅城区季华五路公交大厦（市行政服务中心）4楼412窗口</w:t>
            </w:r>
          </w:p>
        </w:tc>
        <w:tc>
          <w:tcPr>
            <w:tcW w:w="1995" w:type="dxa"/>
            <w:vAlign w:val="center"/>
          </w:tcPr>
          <w:p>
            <w:pPr>
              <w:pStyle w:val="13"/>
              <w:ind w:firstLine="0" w:firstLineChars="0"/>
              <w:jc w:val="left"/>
              <w:rPr>
                <w:sz w:val="24"/>
                <w:szCs w:val="24"/>
              </w:rPr>
            </w:pPr>
            <w:r>
              <w:rPr>
                <w:rFonts w:hint="eastAsia"/>
                <w:sz w:val="24"/>
                <w:szCs w:val="24"/>
              </w:rPr>
              <w:t>上午8:30-12:00下午14:00-17:00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383" w:type="dxa"/>
            <w:vAlign w:val="center"/>
          </w:tcPr>
          <w:p>
            <w:pPr>
              <w:pStyle w:val="13"/>
              <w:ind w:firstLine="0" w:firstLineChars="0"/>
              <w:jc w:val="center"/>
              <w:rPr>
                <w:sz w:val="24"/>
                <w:szCs w:val="24"/>
              </w:rPr>
            </w:pPr>
            <w:r>
              <w:rPr>
                <w:rFonts w:hint="eastAsia"/>
                <w:sz w:val="24"/>
                <w:szCs w:val="24"/>
              </w:rPr>
              <w:t>南海区</w:t>
            </w:r>
          </w:p>
        </w:tc>
        <w:tc>
          <w:tcPr>
            <w:tcW w:w="1878" w:type="dxa"/>
            <w:vAlign w:val="center"/>
          </w:tcPr>
          <w:p>
            <w:pPr>
              <w:pStyle w:val="13"/>
              <w:ind w:firstLine="0" w:firstLineChars="0"/>
              <w:jc w:val="center"/>
              <w:rPr>
                <w:sz w:val="24"/>
                <w:szCs w:val="24"/>
              </w:rPr>
            </w:pPr>
            <w:r>
              <w:rPr>
                <w:sz w:val="24"/>
                <w:szCs w:val="24"/>
              </w:rPr>
              <w:t>0757-81210322</w:t>
            </w:r>
          </w:p>
        </w:tc>
        <w:tc>
          <w:tcPr>
            <w:tcW w:w="3573" w:type="dxa"/>
            <w:vAlign w:val="center"/>
          </w:tcPr>
          <w:p>
            <w:pPr>
              <w:pStyle w:val="13"/>
              <w:ind w:firstLine="0" w:firstLineChars="0"/>
              <w:rPr>
                <w:sz w:val="24"/>
                <w:szCs w:val="24"/>
              </w:rPr>
            </w:pPr>
            <w:r>
              <w:rPr>
                <w:rFonts w:hint="eastAsia"/>
                <w:sz w:val="24"/>
                <w:szCs w:val="24"/>
              </w:rPr>
              <w:t>佛山市南海区桂城街道桂澜北路8号佛山市公共资源交易中心南海分中心一楼大厅</w:t>
            </w:r>
          </w:p>
        </w:tc>
        <w:tc>
          <w:tcPr>
            <w:tcW w:w="1995" w:type="dxa"/>
            <w:vAlign w:val="center"/>
          </w:tcPr>
          <w:p>
            <w:pPr>
              <w:pStyle w:val="13"/>
              <w:ind w:firstLine="0" w:firstLineChars="0"/>
              <w:jc w:val="left"/>
              <w:rPr>
                <w:sz w:val="24"/>
                <w:szCs w:val="24"/>
              </w:rPr>
            </w:pPr>
            <w:r>
              <w:rPr>
                <w:rFonts w:hint="eastAsia"/>
                <w:sz w:val="24"/>
                <w:szCs w:val="24"/>
              </w:rPr>
              <w:t>上午8:30-12:00下午14:00-17:30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383" w:type="dxa"/>
            <w:vAlign w:val="center"/>
          </w:tcPr>
          <w:p>
            <w:pPr>
              <w:pStyle w:val="13"/>
              <w:ind w:firstLine="0" w:firstLineChars="0"/>
              <w:jc w:val="center"/>
              <w:rPr>
                <w:sz w:val="24"/>
                <w:szCs w:val="24"/>
              </w:rPr>
            </w:pPr>
            <w:r>
              <w:rPr>
                <w:rFonts w:hint="eastAsia"/>
                <w:sz w:val="24"/>
                <w:szCs w:val="24"/>
              </w:rPr>
              <w:t>三水区</w:t>
            </w:r>
          </w:p>
        </w:tc>
        <w:tc>
          <w:tcPr>
            <w:tcW w:w="1878" w:type="dxa"/>
            <w:vAlign w:val="center"/>
          </w:tcPr>
          <w:p>
            <w:pPr>
              <w:pStyle w:val="13"/>
              <w:ind w:firstLine="0" w:firstLineChars="0"/>
              <w:jc w:val="center"/>
              <w:rPr>
                <w:sz w:val="24"/>
                <w:szCs w:val="24"/>
              </w:rPr>
            </w:pPr>
            <w:r>
              <w:rPr>
                <w:sz w:val="24"/>
                <w:szCs w:val="24"/>
              </w:rPr>
              <w:t>0757-87730292</w:t>
            </w:r>
          </w:p>
        </w:tc>
        <w:tc>
          <w:tcPr>
            <w:tcW w:w="3573" w:type="dxa"/>
            <w:vAlign w:val="center"/>
          </w:tcPr>
          <w:p>
            <w:pPr>
              <w:pStyle w:val="13"/>
              <w:ind w:firstLine="0" w:firstLineChars="0"/>
              <w:rPr>
                <w:sz w:val="24"/>
                <w:szCs w:val="24"/>
              </w:rPr>
            </w:pPr>
            <w:r>
              <w:rPr>
                <w:rFonts w:hint="eastAsia"/>
                <w:sz w:val="24"/>
                <w:szCs w:val="24"/>
              </w:rPr>
              <w:t>佛山市三水区西南街道同福路10号行政服务中心5楼办事大厅15号窗数字证书业务窗口</w:t>
            </w:r>
          </w:p>
        </w:tc>
        <w:tc>
          <w:tcPr>
            <w:tcW w:w="1995" w:type="dxa"/>
            <w:vAlign w:val="center"/>
          </w:tcPr>
          <w:p>
            <w:pPr>
              <w:pStyle w:val="13"/>
              <w:ind w:firstLine="0" w:firstLineChars="0"/>
              <w:jc w:val="left"/>
              <w:rPr>
                <w:sz w:val="24"/>
                <w:szCs w:val="24"/>
              </w:rPr>
            </w:pPr>
            <w:r>
              <w:rPr>
                <w:rFonts w:hint="eastAsia"/>
                <w:sz w:val="24"/>
                <w:szCs w:val="24"/>
              </w:rPr>
              <w:t>上午8:30-12:00下午14:00-17:30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383" w:type="dxa"/>
            <w:vAlign w:val="center"/>
          </w:tcPr>
          <w:p>
            <w:pPr>
              <w:pStyle w:val="13"/>
              <w:ind w:firstLine="0" w:firstLineChars="0"/>
              <w:jc w:val="center"/>
              <w:rPr>
                <w:sz w:val="24"/>
                <w:szCs w:val="24"/>
              </w:rPr>
            </w:pPr>
            <w:r>
              <w:rPr>
                <w:rFonts w:hint="eastAsia"/>
                <w:sz w:val="24"/>
                <w:szCs w:val="24"/>
              </w:rPr>
              <w:t>顺德区</w:t>
            </w:r>
          </w:p>
        </w:tc>
        <w:tc>
          <w:tcPr>
            <w:tcW w:w="1878" w:type="dxa"/>
            <w:vAlign w:val="center"/>
          </w:tcPr>
          <w:p>
            <w:pPr>
              <w:pStyle w:val="13"/>
              <w:ind w:firstLine="0" w:firstLineChars="0"/>
              <w:jc w:val="center"/>
              <w:rPr>
                <w:sz w:val="24"/>
                <w:szCs w:val="24"/>
              </w:rPr>
            </w:pPr>
            <w:r>
              <w:rPr>
                <w:sz w:val="24"/>
                <w:szCs w:val="24"/>
              </w:rPr>
              <w:t>0757-22323195</w:t>
            </w:r>
          </w:p>
        </w:tc>
        <w:tc>
          <w:tcPr>
            <w:tcW w:w="3573" w:type="dxa"/>
            <w:vAlign w:val="center"/>
          </w:tcPr>
          <w:p>
            <w:pPr>
              <w:pStyle w:val="13"/>
              <w:ind w:firstLine="0" w:firstLineChars="0"/>
              <w:rPr>
                <w:sz w:val="24"/>
                <w:szCs w:val="24"/>
              </w:rPr>
            </w:pPr>
            <w:r>
              <w:rPr>
                <w:rFonts w:hint="eastAsia"/>
                <w:sz w:val="24"/>
                <w:szCs w:val="24"/>
              </w:rPr>
              <w:t>佛山市顺德区大良德民路顺德区行政服务中心东座三楼15号窗数字证书业务窗口</w:t>
            </w:r>
          </w:p>
        </w:tc>
        <w:tc>
          <w:tcPr>
            <w:tcW w:w="1995" w:type="dxa"/>
            <w:vAlign w:val="center"/>
          </w:tcPr>
          <w:p>
            <w:pPr>
              <w:pStyle w:val="13"/>
              <w:ind w:firstLine="0" w:firstLineChars="0"/>
              <w:jc w:val="left"/>
              <w:rPr>
                <w:sz w:val="24"/>
                <w:szCs w:val="24"/>
              </w:rPr>
            </w:pPr>
            <w:r>
              <w:rPr>
                <w:rFonts w:hint="eastAsia"/>
                <w:sz w:val="24"/>
                <w:szCs w:val="24"/>
              </w:rPr>
              <w:t>上午8:30-12:00下午14:00-17:30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383" w:type="dxa"/>
            <w:vAlign w:val="center"/>
          </w:tcPr>
          <w:p>
            <w:pPr>
              <w:pStyle w:val="13"/>
              <w:ind w:firstLine="0" w:firstLineChars="0"/>
              <w:jc w:val="center"/>
              <w:rPr>
                <w:sz w:val="24"/>
                <w:szCs w:val="24"/>
              </w:rPr>
            </w:pPr>
            <w:r>
              <w:rPr>
                <w:rFonts w:hint="eastAsia"/>
                <w:sz w:val="24"/>
                <w:szCs w:val="24"/>
              </w:rPr>
              <w:t>高明区</w:t>
            </w:r>
          </w:p>
        </w:tc>
        <w:tc>
          <w:tcPr>
            <w:tcW w:w="1878" w:type="dxa"/>
            <w:vAlign w:val="center"/>
          </w:tcPr>
          <w:p>
            <w:pPr>
              <w:pStyle w:val="13"/>
              <w:ind w:firstLine="0" w:firstLineChars="0"/>
              <w:jc w:val="center"/>
              <w:rPr>
                <w:sz w:val="24"/>
                <w:szCs w:val="24"/>
              </w:rPr>
            </w:pPr>
            <w:r>
              <w:rPr>
                <w:rFonts w:hint="eastAsia"/>
                <w:sz w:val="24"/>
                <w:szCs w:val="24"/>
              </w:rPr>
              <w:t>/</w:t>
            </w:r>
          </w:p>
        </w:tc>
        <w:tc>
          <w:tcPr>
            <w:tcW w:w="3573" w:type="dxa"/>
            <w:vAlign w:val="center"/>
          </w:tcPr>
          <w:p>
            <w:pPr>
              <w:pStyle w:val="13"/>
              <w:ind w:firstLine="0" w:firstLineChars="0"/>
              <w:jc w:val="center"/>
              <w:rPr>
                <w:sz w:val="24"/>
                <w:szCs w:val="24"/>
              </w:rPr>
            </w:pPr>
            <w:r>
              <w:rPr>
                <w:rFonts w:hint="eastAsia"/>
                <w:sz w:val="24"/>
                <w:szCs w:val="24"/>
              </w:rPr>
              <w:t>/</w:t>
            </w:r>
          </w:p>
        </w:tc>
        <w:tc>
          <w:tcPr>
            <w:tcW w:w="1995" w:type="dxa"/>
            <w:vAlign w:val="center"/>
          </w:tcPr>
          <w:p>
            <w:pPr>
              <w:pStyle w:val="13"/>
              <w:ind w:firstLine="0" w:firstLineChars="0"/>
              <w:jc w:val="center"/>
              <w:rPr>
                <w:sz w:val="24"/>
                <w:szCs w:val="24"/>
              </w:rPr>
            </w:pPr>
            <w:r>
              <w:rPr>
                <w:rFonts w:hint="eastAsia"/>
                <w:sz w:val="24"/>
                <w:szCs w:val="24"/>
              </w:rPr>
              <w:t>/</w:t>
            </w:r>
          </w:p>
        </w:tc>
      </w:tr>
    </w:tbl>
    <w:p>
      <w:pPr>
        <w:pStyle w:val="13"/>
        <w:spacing w:line="360" w:lineRule="auto"/>
        <w:ind w:left="426" w:firstLine="0" w:firstLineChars="0"/>
        <w:rPr>
          <w:sz w:val="24"/>
          <w:szCs w:val="24"/>
        </w:rPr>
      </w:pPr>
    </w:p>
    <w:p>
      <w:pPr>
        <w:pStyle w:val="13"/>
        <w:spacing w:line="360" w:lineRule="auto"/>
        <w:ind w:firstLine="565" w:firstLineChars="201"/>
        <w:rPr>
          <w:b/>
          <w:sz w:val="28"/>
          <w:szCs w:val="24"/>
        </w:rPr>
      </w:pPr>
      <w:r>
        <w:rPr>
          <w:rFonts w:hint="eastAsia"/>
          <w:b/>
          <w:sz w:val="28"/>
          <w:szCs w:val="24"/>
        </w:rPr>
        <w:t>说明：供应商须完成上述主体库入库手续后，才能进行定点资格征集入库申请。</w:t>
      </w:r>
    </w:p>
    <w:p>
      <w:pPr>
        <w:pStyle w:val="13"/>
        <w:spacing w:line="360" w:lineRule="auto"/>
        <w:ind w:left="426" w:firstLine="0" w:firstLineChars="0"/>
        <w:rPr>
          <w:sz w:val="24"/>
          <w:szCs w:val="24"/>
        </w:rPr>
      </w:pPr>
    </w:p>
    <w:p>
      <w:pPr>
        <w:pStyle w:val="13"/>
        <w:numPr>
          <w:ilvl w:val="0"/>
          <w:numId w:val="1"/>
        </w:numPr>
        <w:spacing w:line="360" w:lineRule="auto"/>
        <w:ind w:firstLineChars="0"/>
        <w:rPr>
          <w:b/>
          <w:sz w:val="28"/>
          <w:szCs w:val="24"/>
        </w:rPr>
      </w:pPr>
      <w:r>
        <w:rPr>
          <w:rFonts w:hint="eastAsia"/>
          <w:b/>
          <w:sz w:val="28"/>
          <w:szCs w:val="24"/>
        </w:rPr>
        <w:t>征集入库品目及服务类型</w:t>
      </w:r>
    </w:p>
    <w:p>
      <w:pPr>
        <w:spacing w:line="360" w:lineRule="auto"/>
        <w:ind w:firstLine="420"/>
        <w:rPr>
          <w:sz w:val="24"/>
          <w:szCs w:val="24"/>
        </w:rPr>
      </w:pPr>
      <w:r>
        <w:rPr>
          <w:rFonts w:hint="eastAsia"/>
          <w:sz w:val="24"/>
          <w:szCs w:val="24"/>
        </w:rPr>
        <w:t>佛山市市直预算单位定点采购供应商征集入库（以下简称征集入库）的入库品目将根据供货属性和资质要求分为四大类别，分别为A.货物及相关维修服务类、B.工程类、C.服务类、D.电梯及电梯维修和保养。</w:t>
      </w:r>
    </w:p>
    <w:p>
      <w:pPr>
        <w:pStyle w:val="13"/>
        <w:numPr>
          <w:ilvl w:val="0"/>
          <w:numId w:val="3"/>
        </w:numPr>
        <w:spacing w:line="360" w:lineRule="auto"/>
        <w:ind w:firstLineChars="0"/>
        <w:rPr>
          <w:sz w:val="24"/>
          <w:szCs w:val="24"/>
        </w:rPr>
      </w:pPr>
      <w:r>
        <w:rPr>
          <w:rFonts w:hint="eastAsia"/>
          <w:b/>
          <w:sz w:val="24"/>
          <w:szCs w:val="24"/>
        </w:rPr>
        <w:t>A.货物及相关维修服务类下设品目：</w:t>
      </w:r>
      <w:r>
        <w:rPr>
          <w:rFonts w:hint="eastAsia"/>
          <w:sz w:val="24"/>
          <w:szCs w:val="24"/>
        </w:rPr>
        <w:t>服务器、台式计算机、便携式计算机、交换设备、喷墨打印机、激光打印机、针式打印机、液晶显示器、扫描仪、复印机、投影仪、多功能一体机、通用照相机、速印机、碎纸机、电冰箱、空调机、视频会议系统设备、普通电视设备（电视机）、通用摄像机、家具用具、复印纸、硒鼓粉盒、计算机设备维修和保养服务、办公设备维修和保养服务、空调维修和保养服务。</w:t>
      </w:r>
    </w:p>
    <w:p>
      <w:pPr>
        <w:pStyle w:val="13"/>
        <w:numPr>
          <w:ilvl w:val="0"/>
          <w:numId w:val="3"/>
        </w:numPr>
        <w:spacing w:line="360" w:lineRule="auto"/>
        <w:ind w:left="426" w:hanging="426" w:firstLineChars="0"/>
        <w:rPr>
          <w:sz w:val="24"/>
          <w:szCs w:val="24"/>
        </w:rPr>
      </w:pPr>
      <w:r>
        <w:rPr>
          <w:rFonts w:hint="eastAsia"/>
          <w:b/>
          <w:sz w:val="24"/>
          <w:szCs w:val="24"/>
        </w:rPr>
        <w:t>B.工程类下设品目：</w:t>
      </w:r>
      <w:r>
        <w:rPr>
          <w:rFonts w:hint="eastAsia"/>
          <w:sz w:val="24"/>
          <w:szCs w:val="24"/>
        </w:rPr>
        <w:t>装修工程、修缮工程。</w:t>
      </w:r>
    </w:p>
    <w:p>
      <w:pPr>
        <w:pStyle w:val="13"/>
        <w:numPr>
          <w:ilvl w:val="0"/>
          <w:numId w:val="3"/>
        </w:numPr>
        <w:spacing w:line="360" w:lineRule="auto"/>
        <w:ind w:left="426" w:hanging="426" w:firstLineChars="0"/>
        <w:rPr>
          <w:sz w:val="24"/>
          <w:szCs w:val="24"/>
        </w:rPr>
      </w:pPr>
      <w:r>
        <w:rPr>
          <w:rFonts w:hint="eastAsia"/>
          <w:b/>
          <w:sz w:val="24"/>
          <w:szCs w:val="24"/>
        </w:rPr>
        <w:t>C.服务类下设品目及服务类型：</w:t>
      </w:r>
      <w:r>
        <w:rPr>
          <w:rFonts w:hint="eastAsia"/>
          <w:sz w:val="24"/>
          <w:szCs w:val="24"/>
        </w:rPr>
        <w:t>法律服务、审计服务【审计服务（税务师事务所）、审计服务（会计师事务所）】、资产及其他评估服务【资产及其他评估服务（土地评估机构）、资产及其他评估服务（资产评估机构）、资产及其他评估服务（价格评估机构）、资产及其他评估服务（房地产评估机构）】、印刷服务【出版物印刷品、其他印刷品、包装装潢印刷品】、物业管理服务【保安服务、绿化服务、保洁服务、综合类物业管理服务】。</w:t>
      </w:r>
    </w:p>
    <w:p>
      <w:pPr>
        <w:pStyle w:val="13"/>
        <w:numPr>
          <w:ilvl w:val="0"/>
          <w:numId w:val="3"/>
        </w:numPr>
        <w:spacing w:line="360" w:lineRule="auto"/>
        <w:ind w:left="426" w:hanging="426" w:firstLineChars="0"/>
        <w:rPr>
          <w:sz w:val="24"/>
          <w:szCs w:val="24"/>
        </w:rPr>
      </w:pPr>
      <w:r>
        <w:rPr>
          <w:rFonts w:hint="eastAsia"/>
          <w:b/>
          <w:sz w:val="24"/>
          <w:szCs w:val="24"/>
        </w:rPr>
        <w:t>D.电梯及电梯维修和保养下设品目及服务类型：</w:t>
      </w:r>
      <w:r>
        <w:rPr>
          <w:rFonts w:hint="eastAsia"/>
          <w:sz w:val="24"/>
          <w:szCs w:val="24"/>
        </w:rPr>
        <w:t>电梯、电梯维修和保养服务【电梯改造、电梯修理、电梯维护保养】。</w:t>
      </w:r>
    </w:p>
    <w:p>
      <w:pPr>
        <w:pStyle w:val="13"/>
        <w:spacing w:line="360" w:lineRule="auto"/>
        <w:ind w:left="426" w:firstLine="0" w:firstLineChars="0"/>
        <w:rPr>
          <w:sz w:val="24"/>
          <w:szCs w:val="24"/>
        </w:rPr>
      </w:pPr>
    </w:p>
    <w:p>
      <w:pPr>
        <w:pStyle w:val="13"/>
        <w:numPr>
          <w:ilvl w:val="0"/>
          <w:numId w:val="1"/>
        </w:numPr>
        <w:spacing w:line="360" w:lineRule="auto"/>
        <w:ind w:firstLineChars="0"/>
        <w:rPr>
          <w:b/>
          <w:sz w:val="28"/>
          <w:szCs w:val="24"/>
        </w:rPr>
      </w:pPr>
      <w:r>
        <w:rPr>
          <w:rFonts w:hint="eastAsia"/>
          <w:b/>
          <w:sz w:val="28"/>
          <w:szCs w:val="24"/>
        </w:rPr>
        <w:t>征集入库申请</w:t>
      </w:r>
    </w:p>
    <w:p>
      <w:pPr>
        <w:pStyle w:val="13"/>
        <w:spacing w:line="360" w:lineRule="auto"/>
        <w:ind w:firstLine="565" w:firstLineChars="201"/>
        <w:rPr>
          <w:b/>
          <w:sz w:val="28"/>
          <w:szCs w:val="24"/>
        </w:rPr>
      </w:pPr>
      <w:r>
        <w:rPr>
          <w:rFonts w:hint="eastAsia"/>
          <w:b/>
          <w:sz w:val="28"/>
          <w:szCs w:val="24"/>
        </w:rPr>
        <w:t>前提：先办理完成交易主体信息库入库手续，详见“二、交易主体信息库注册”</w:t>
      </w:r>
    </w:p>
    <w:p>
      <w:pPr>
        <w:pStyle w:val="13"/>
        <w:numPr>
          <w:ilvl w:val="0"/>
          <w:numId w:val="4"/>
        </w:numPr>
        <w:spacing w:line="360" w:lineRule="auto"/>
        <w:ind w:left="426" w:hanging="426" w:firstLineChars="0"/>
        <w:rPr>
          <w:sz w:val="24"/>
          <w:szCs w:val="24"/>
        </w:rPr>
      </w:pPr>
      <w:r>
        <w:rPr>
          <w:rFonts w:hint="eastAsia"/>
          <w:sz w:val="24"/>
          <w:szCs w:val="24"/>
        </w:rPr>
        <w:t>供应商登录佛山市公共资源信息化综合平台（以下简称“信息化综合平台”）后，点击定点采购-征集时间查询及申请。</w:t>
      </w:r>
    </w:p>
    <w:p>
      <w:pPr>
        <w:pStyle w:val="13"/>
        <w:numPr>
          <w:ilvl w:val="0"/>
          <w:numId w:val="4"/>
        </w:numPr>
        <w:spacing w:line="360" w:lineRule="auto"/>
        <w:ind w:left="426" w:hanging="426" w:firstLineChars="0"/>
        <w:rPr>
          <w:sz w:val="24"/>
          <w:szCs w:val="24"/>
        </w:rPr>
      </w:pPr>
      <w:r>
        <w:rPr>
          <w:rFonts w:hint="eastAsia"/>
          <w:b/>
          <w:sz w:val="24"/>
          <w:szCs w:val="24"/>
        </w:rPr>
        <w:t>查询功能：</w:t>
      </w:r>
      <w:r>
        <w:rPr>
          <w:rFonts w:hint="eastAsia"/>
          <w:sz w:val="24"/>
          <w:szCs w:val="24"/>
        </w:rPr>
        <w:t>供应商在此栏目查询每期征集入库的有效申请时间、申请的状态和协议供货品目等内容。</w:t>
      </w:r>
    </w:p>
    <w:p>
      <w:pPr>
        <w:pStyle w:val="13"/>
        <w:numPr>
          <w:ilvl w:val="0"/>
          <w:numId w:val="4"/>
        </w:numPr>
        <w:spacing w:line="360" w:lineRule="auto"/>
        <w:ind w:left="426" w:hanging="426" w:firstLineChars="0"/>
        <w:rPr>
          <w:sz w:val="24"/>
          <w:szCs w:val="24"/>
        </w:rPr>
      </w:pPr>
      <w:r>
        <w:rPr>
          <w:rFonts w:hint="eastAsia"/>
          <w:b/>
          <w:sz w:val="24"/>
          <w:szCs w:val="24"/>
        </w:rPr>
        <w:t>申请功能：</w:t>
      </w:r>
    </w:p>
    <w:p>
      <w:pPr>
        <w:pStyle w:val="13"/>
        <w:numPr>
          <w:ilvl w:val="0"/>
          <w:numId w:val="5"/>
        </w:numPr>
        <w:spacing w:line="360" w:lineRule="auto"/>
        <w:ind w:left="709" w:hanging="709" w:firstLineChars="0"/>
        <w:rPr>
          <w:sz w:val="24"/>
          <w:szCs w:val="24"/>
        </w:rPr>
      </w:pPr>
      <w:r>
        <w:rPr>
          <w:rFonts w:hint="eastAsia"/>
          <w:sz w:val="24"/>
          <w:szCs w:val="24"/>
        </w:rPr>
        <w:t>供应商在征集时间查询及申请栏目点击“我要申请”申请参与征集入库。</w:t>
      </w:r>
    </w:p>
    <w:p>
      <w:pPr>
        <w:pStyle w:val="13"/>
        <w:numPr>
          <w:ilvl w:val="0"/>
          <w:numId w:val="5"/>
        </w:numPr>
        <w:spacing w:line="360" w:lineRule="auto"/>
        <w:ind w:left="709" w:hanging="709" w:firstLineChars="0"/>
        <w:rPr>
          <w:sz w:val="24"/>
          <w:szCs w:val="24"/>
        </w:rPr>
      </w:pPr>
      <w:r>
        <w:rPr>
          <w:rFonts w:hint="eastAsia"/>
          <w:sz w:val="24"/>
          <w:szCs w:val="24"/>
        </w:rPr>
        <w:t>供应商按要求进行信息内容填写（具体要求见第五大点）。申请时填写的相关信息必须与上传的资质证书及证明材料内容一致。</w:t>
      </w:r>
    </w:p>
    <w:p>
      <w:pPr>
        <w:pStyle w:val="13"/>
        <w:numPr>
          <w:ilvl w:val="0"/>
          <w:numId w:val="5"/>
        </w:numPr>
        <w:spacing w:line="360" w:lineRule="auto"/>
        <w:ind w:left="709" w:hanging="709" w:firstLineChars="0"/>
        <w:rPr>
          <w:sz w:val="24"/>
          <w:szCs w:val="24"/>
        </w:rPr>
      </w:pPr>
      <w:r>
        <w:rPr>
          <w:rFonts w:hint="eastAsia"/>
          <w:sz w:val="24"/>
          <w:szCs w:val="24"/>
        </w:rPr>
        <w:t>申请信息填写完毕后，供应商在有效的申请时间内提交申请。</w:t>
      </w:r>
    </w:p>
    <w:p>
      <w:pPr>
        <w:pStyle w:val="13"/>
        <w:numPr>
          <w:ilvl w:val="0"/>
          <w:numId w:val="4"/>
        </w:numPr>
        <w:spacing w:line="360" w:lineRule="auto"/>
        <w:ind w:left="426" w:hanging="426" w:firstLineChars="0"/>
        <w:rPr>
          <w:sz w:val="24"/>
          <w:szCs w:val="24"/>
        </w:rPr>
      </w:pPr>
      <w:r>
        <w:rPr>
          <w:rFonts w:hint="eastAsia"/>
          <w:b/>
          <w:sz w:val="24"/>
          <w:szCs w:val="24"/>
        </w:rPr>
        <w:t>撤回功能：</w:t>
      </w:r>
    </w:p>
    <w:p>
      <w:pPr>
        <w:spacing w:line="360" w:lineRule="auto"/>
        <w:ind w:firstLine="420"/>
        <w:rPr>
          <w:sz w:val="24"/>
          <w:szCs w:val="24"/>
        </w:rPr>
      </w:pPr>
      <w:r>
        <w:rPr>
          <w:rFonts w:hint="eastAsia"/>
          <w:sz w:val="24"/>
          <w:szCs w:val="24"/>
        </w:rPr>
        <w:t>供应商已提交的申请，在本期征集入库申请截止时间前，允许撤回本次申请。撤回后如需申请定点资格的，需在申报截止时间前重新编辑提交，并以供应商最后一次提交的申请信息及资料为准，请各供应商谨慎操作。撤回后未在申请截止时间前重新提交的，视同不参与本期征集入库活动。</w:t>
      </w:r>
    </w:p>
    <w:p>
      <w:pPr>
        <w:pStyle w:val="13"/>
        <w:numPr>
          <w:ilvl w:val="0"/>
          <w:numId w:val="4"/>
        </w:numPr>
        <w:spacing w:line="360" w:lineRule="auto"/>
        <w:ind w:left="426" w:hanging="426" w:firstLineChars="0"/>
        <w:rPr>
          <w:b/>
          <w:sz w:val="24"/>
          <w:szCs w:val="24"/>
        </w:rPr>
      </w:pPr>
      <w:r>
        <w:rPr>
          <w:rFonts w:hint="eastAsia"/>
          <w:b/>
          <w:sz w:val="24"/>
          <w:szCs w:val="24"/>
        </w:rPr>
        <w:t>申请限制情形</w:t>
      </w:r>
    </w:p>
    <w:p>
      <w:pPr>
        <w:pStyle w:val="13"/>
        <w:numPr>
          <w:ilvl w:val="0"/>
          <w:numId w:val="6"/>
        </w:numPr>
        <w:tabs>
          <w:tab w:val="left" w:pos="709"/>
        </w:tabs>
        <w:spacing w:line="360" w:lineRule="auto"/>
        <w:ind w:left="0" w:firstLine="0" w:firstLineChars="0"/>
        <w:rPr>
          <w:sz w:val="24"/>
          <w:szCs w:val="24"/>
        </w:rPr>
      </w:pPr>
      <w:r>
        <w:rPr>
          <w:rFonts w:hint="eastAsia"/>
          <w:sz w:val="24"/>
          <w:szCs w:val="24"/>
        </w:rPr>
        <w:t>除以下情形外，不接受供应商的分公司或分支机构申请入库：</w:t>
      </w:r>
    </w:p>
    <w:p>
      <w:pPr>
        <w:pStyle w:val="13"/>
        <w:numPr>
          <w:ilvl w:val="0"/>
          <w:numId w:val="7"/>
        </w:numPr>
        <w:tabs>
          <w:tab w:val="left" w:pos="709"/>
        </w:tabs>
        <w:spacing w:line="360" w:lineRule="auto"/>
        <w:ind w:left="567" w:hanging="425" w:firstLineChars="0"/>
        <w:rPr>
          <w:sz w:val="24"/>
          <w:szCs w:val="24"/>
        </w:rPr>
      </w:pPr>
      <w:r>
        <w:rPr>
          <w:rFonts w:hint="eastAsia"/>
          <w:sz w:val="24"/>
          <w:szCs w:val="24"/>
        </w:rPr>
        <w:t>银行、保险、石油石化、电力、电信行业的供应商，若为分公司或分支机构申请入库的，须同时出具总公司的营业执照以及总公司针对征集入库的唯一授权书。</w:t>
      </w:r>
    </w:p>
    <w:p>
      <w:pPr>
        <w:pStyle w:val="13"/>
        <w:numPr>
          <w:ilvl w:val="0"/>
          <w:numId w:val="7"/>
        </w:numPr>
        <w:tabs>
          <w:tab w:val="left" w:pos="709"/>
        </w:tabs>
        <w:spacing w:line="360" w:lineRule="auto"/>
        <w:ind w:left="567" w:hanging="425" w:firstLineChars="0"/>
        <w:rPr>
          <w:sz w:val="24"/>
          <w:szCs w:val="24"/>
        </w:rPr>
      </w:pPr>
      <w:r>
        <w:rPr>
          <w:rFonts w:hint="eastAsia"/>
          <w:sz w:val="24"/>
          <w:szCs w:val="24"/>
        </w:rPr>
        <w:t>律师行业的供应商，若为分所申请入库的，须同时出具总所的律师事务所执业许可证以及总所针对征集入库的唯一授权书。</w:t>
      </w:r>
    </w:p>
    <w:p>
      <w:pPr>
        <w:pStyle w:val="13"/>
        <w:numPr>
          <w:ilvl w:val="0"/>
          <w:numId w:val="7"/>
        </w:numPr>
        <w:tabs>
          <w:tab w:val="left" w:pos="709"/>
        </w:tabs>
        <w:spacing w:line="360" w:lineRule="auto"/>
        <w:ind w:left="567" w:hanging="425" w:firstLineChars="0"/>
        <w:rPr>
          <w:sz w:val="24"/>
          <w:szCs w:val="24"/>
        </w:rPr>
      </w:pPr>
      <w:r>
        <w:rPr>
          <w:rFonts w:hint="eastAsia"/>
          <w:sz w:val="24"/>
          <w:szCs w:val="24"/>
        </w:rPr>
        <w:t>上述两种情形适用于总公司（总所）不申请入库时，仅授权一家分支机构（分所）参加。</w:t>
      </w:r>
    </w:p>
    <w:p>
      <w:pPr>
        <w:pStyle w:val="13"/>
        <w:numPr>
          <w:ilvl w:val="0"/>
          <w:numId w:val="6"/>
        </w:numPr>
        <w:tabs>
          <w:tab w:val="left" w:pos="709"/>
        </w:tabs>
        <w:spacing w:line="360" w:lineRule="auto"/>
        <w:ind w:left="0" w:firstLine="0" w:firstLineChars="0"/>
        <w:rPr>
          <w:sz w:val="24"/>
          <w:szCs w:val="24"/>
        </w:rPr>
      </w:pPr>
      <w:r>
        <w:rPr>
          <w:rFonts w:hint="eastAsia"/>
          <w:sz w:val="24"/>
          <w:szCs w:val="24"/>
        </w:rPr>
        <w:t>每期征集入库活动中，同一供应商不能重复申请同一类别的协议定点资格。</w:t>
      </w:r>
    </w:p>
    <w:p>
      <w:pPr>
        <w:pStyle w:val="13"/>
        <w:tabs>
          <w:tab w:val="left" w:pos="567"/>
        </w:tabs>
        <w:spacing w:line="360" w:lineRule="auto"/>
        <w:ind w:firstLine="0" w:firstLineChars="0"/>
        <w:rPr>
          <w:sz w:val="24"/>
          <w:szCs w:val="24"/>
        </w:rPr>
      </w:pPr>
      <w:r>
        <w:rPr>
          <w:rFonts w:hint="eastAsia"/>
          <w:sz w:val="24"/>
          <w:szCs w:val="24"/>
        </w:rPr>
        <w:tab/>
      </w:r>
      <w:r>
        <w:rPr>
          <w:rFonts w:hint="eastAsia"/>
          <w:sz w:val="24"/>
          <w:szCs w:val="24"/>
          <w:highlight w:val="yellow"/>
        </w:rPr>
        <w:t>例如：</w:t>
      </w:r>
      <w:r>
        <w:rPr>
          <w:rFonts w:hint="eastAsia"/>
          <w:sz w:val="24"/>
          <w:szCs w:val="24"/>
        </w:rPr>
        <w:t>甲公司已提交A.货物及相关维修服务类（服务器、台式计算机、便携式计算机）品目协议定点资格。在本期有效申请时间截止前，甲公司还需要增加A类别下其他品目的协议定点资格的，不能重复选择A类别进行申请，只能先撤回原来的申请，再修改完善后在截止时间前提交，并以最后一题提交的申请信息资料为准。</w:t>
      </w:r>
    </w:p>
    <w:p>
      <w:pPr>
        <w:pStyle w:val="13"/>
        <w:numPr>
          <w:ilvl w:val="0"/>
          <w:numId w:val="6"/>
        </w:numPr>
        <w:tabs>
          <w:tab w:val="left" w:pos="709"/>
        </w:tabs>
        <w:spacing w:line="360" w:lineRule="auto"/>
        <w:ind w:left="709" w:hanging="709" w:firstLineChars="0"/>
        <w:rPr>
          <w:sz w:val="24"/>
          <w:szCs w:val="24"/>
        </w:rPr>
      </w:pPr>
      <w:r>
        <w:rPr>
          <w:rFonts w:hint="eastAsia"/>
          <w:sz w:val="24"/>
          <w:szCs w:val="24"/>
        </w:rPr>
        <w:t>已成为协议定点资格供应商后，同一品目的协议定点资格服务期结束前，不能重复提出申请。</w:t>
      </w:r>
    </w:p>
    <w:p>
      <w:pPr>
        <w:pStyle w:val="13"/>
        <w:tabs>
          <w:tab w:val="left" w:pos="567"/>
        </w:tabs>
        <w:spacing w:line="360" w:lineRule="auto"/>
        <w:ind w:firstLine="0" w:firstLineChars="0"/>
        <w:rPr>
          <w:sz w:val="24"/>
          <w:szCs w:val="24"/>
        </w:rPr>
      </w:pPr>
      <w:r>
        <w:rPr>
          <w:rFonts w:hint="eastAsia"/>
          <w:sz w:val="24"/>
          <w:szCs w:val="24"/>
        </w:rPr>
        <w:tab/>
      </w:r>
      <w:r>
        <w:rPr>
          <w:rFonts w:hint="eastAsia"/>
          <w:sz w:val="24"/>
          <w:szCs w:val="24"/>
          <w:highlight w:val="yellow"/>
        </w:rPr>
        <w:t>例如：</w:t>
      </w:r>
      <w:r>
        <w:rPr>
          <w:rFonts w:hint="eastAsia"/>
          <w:sz w:val="24"/>
          <w:szCs w:val="24"/>
        </w:rPr>
        <w:t>甲公司已成为A.货物及相关维修服务类服务器、台式计算机、便携式计算机品目协议定点资格，资格服务期为3年。在资格服务期未截止前，甲公司需要另外增加部分品目协议定点资格。甲公司在申请时，不能选择已具备定点资格的品目（即不能选择A类别下的服务器、台式计算机和便携式计算机品目）。</w:t>
      </w:r>
    </w:p>
    <w:p>
      <w:pPr>
        <w:pStyle w:val="13"/>
        <w:numPr>
          <w:ilvl w:val="0"/>
          <w:numId w:val="6"/>
        </w:numPr>
        <w:tabs>
          <w:tab w:val="left" w:pos="709"/>
        </w:tabs>
        <w:spacing w:line="360" w:lineRule="auto"/>
        <w:ind w:left="709" w:hanging="709" w:firstLineChars="0"/>
        <w:rPr>
          <w:sz w:val="24"/>
          <w:szCs w:val="24"/>
        </w:rPr>
      </w:pPr>
      <w:r>
        <w:rPr>
          <w:rFonts w:hint="eastAsia"/>
          <w:sz w:val="24"/>
          <w:szCs w:val="24"/>
        </w:rPr>
        <w:t>供应商被列入信用中国（佛山）、中国政府采购网违法失信行为名单、佛山市中级人民法院黑名单等将被拒绝申请；已申请进入的，在核实有关情况后将暂停协议定点资格。</w:t>
      </w:r>
    </w:p>
    <w:p>
      <w:pPr>
        <w:pStyle w:val="13"/>
        <w:numPr>
          <w:ilvl w:val="0"/>
          <w:numId w:val="4"/>
        </w:numPr>
        <w:spacing w:line="360" w:lineRule="auto"/>
        <w:ind w:left="426" w:hanging="426" w:firstLineChars="0"/>
        <w:rPr>
          <w:b/>
          <w:sz w:val="24"/>
          <w:szCs w:val="24"/>
        </w:rPr>
      </w:pPr>
      <w:r>
        <w:rPr>
          <w:rFonts w:hint="eastAsia"/>
          <w:b/>
          <w:sz w:val="24"/>
          <w:szCs w:val="24"/>
        </w:rPr>
        <w:t>审核标准：</w:t>
      </w:r>
      <w:r>
        <w:rPr>
          <w:rFonts w:hint="eastAsia"/>
          <w:sz w:val="24"/>
          <w:szCs w:val="24"/>
        </w:rPr>
        <w:t>供应商每次申请征集入库时，若在审核过程中发现单次提交的资料中有不符合要求的（包括填报的信息与提交的资料内容不一致的），所属申请类别的所有品目将不予以通过。</w:t>
      </w:r>
    </w:p>
    <w:p>
      <w:pPr>
        <w:spacing w:line="360" w:lineRule="auto"/>
        <w:ind w:firstLine="420"/>
        <w:rPr>
          <w:sz w:val="24"/>
          <w:szCs w:val="24"/>
        </w:rPr>
      </w:pPr>
      <w:r>
        <w:rPr>
          <w:rFonts w:hint="eastAsia"/>
          <w:sz w:val="24"/>
          <w:szCs w:val="24"/>
          <w:highlight w:val="yellow"/>
        </w:rPr>
        <w:t>例如：</w:t>
      </w:r>
    </w:p>
    <w:p>
      <w:pPr>
        <w:pStyle w:val="13"/>
        <w:numPr>
          <w:ilvl w:val="0"/>
          <w:numId w:val="8"/>
        </w:numPr>
        <w:spacing w:line="360" w:lineRule="auto"/>
        <w:ind w:left="0" w:firstLine="0" w:firstLineChars="0"/>
        <w:rPr>
          <w:b/>
          <w:sz w:val="24"/>
          <w:szCs w:val="24"/>
        </w:rPr>
      </w:pPr>
      <w:r>
        <w:rPr>
          <w:rFonts w:hint="eastAsia"/>
          <w:sz w:val="24"/>
          <w:szCs w:val="24"/>
        </w:rPr>
        <w:t>甲公司分别提交A.货物及相关维修服务类（服务器、台式计算机、便携式计算机）、C.服务类（物业管理【保安服务、综合类物业管理服务】）品目协议定点资格。审核时，A类别、C类别（物业管理【综合类物业管理服务】）符合要求，C类别保安服务资质不符合要求。则甲公司仅获得A类别服务器、台式计算机、便携式计算机定点资格。</w:t>
      </w:r>
    </w:p>
    <w:p>
      <w:pPr>
        <w:pStyle w:val="13"/>
        <w:numPr>
          <w:ilvl w:val="0"/>
          <w:numId w:val="8"/>
        </w:numPr>
        <w:spacing w:line="360" w:lineRule="auto"/>
        <w:ind w:left="0" w:firstLine="0" w:firstLineChars="0"/>
        <w:rPr>
          <w:sz w:val="24"/>
          <w:szCs w:val="24"/>
        </w:rPr>
      </w:pPr>
      <w:r>
        <w:rPr>
          <w:rFonts w:hint="eastAsia"/>
          <w:sz w:val="24"/>
          <w:szCs w:val="24"/>
        </w:rPr>
        <w:t>甲公司办理交易主体信息库入库手续时，填写单位名称为“佛山市甲有限公司”，提交的营业执照扫描件显示的名称为“佛山市甲股份有限公司”，两者名称不一致。该公司在交易主体信息库填报的A资质证书有效期为2020年10月5日，但资质证书扫描件显示的有效期为2020年1月5日，两者有效期不一致。上述两种情形均视为不符合要求。</w:t>
      </w:r>
    </w:p>
    <w:p>
      <w:pPr>
        <w:pStyle w:val="13"/>
        <w:numPr>
          <w:ilvl w:val="0"/>
          <w:numId w:val="4"/>
        </w:numPr>
        <w:spacing w:line="360" w:lineRule="auto"/>
        <w:ind w:left="426" w:hanging="426" w:firstLineChars="0"/>
        <w:rPr>
          <w:b/>
          <w:sz w:val="24"/>
          <w:szCs w:val="24"/>
        </w:rPr>
      </w:pPr>
      <w:r>
        <w:rPr>
          <w:rFonts w:hint="eastAsia"/>
          <w:b/>
          <w:sz w:val="24"/>
          <w:szCs w:val="24"/>
        </w:rPr>
        <w:t>属于下列情况的，供应商可在下一期征集入库期间提出申请：</w:t>
      </w:r>
    </w:p>
    <w:p>
      <w:pPr>
        <w:pStyle w:val="13"/>
        <w:numPr>
          <w:ilvl w:val="0"/>
          <w:numId w:val="9"/>
        </w:numPr>
        <w:tabs>
          <w:tab w:val="left" w:pos="709"/>
        </w:tabs>
        <w:spacing w:line="360" w:lineRule="auto"/>
        <w:ind w:firstLineChars="0"/>
        <w:rPr>
          <w:sz w:val="24"/>
          <w:szCs w:val="24"/>
        </w:rPr>
      </w:pPr>
      <w:r>
        <w:rPr>
          <w:rFonts w:hint="eastAsia"/>
          <w:sz w:val="24"/>
          <w:szCs w:val="24"/>
        </w:rPr>
        <w:t>本期审核不通过的；</w:t>
      </w:r>
    </w:p>
    <w:p>
      <w:pPr>
        <w:pStyle w:val="13"/>
        <w:numPr>
          <w:ilvl w:val="0"/>
          <w:numId w:val="9"/>
        </w:numPr>
        <w:tabs>
          <w:tab w:val="left" w:pos="709"/>
        </w:tabs>
        <w:spacing w:line="360" w:lineRule="auto"/>
        <w:ind w:left="709" w:hanging="709" w:firstLineChars="0"/>
        <w:rPr>
          <w:sz w:val="24"/>
          <w:szCs w:val="24"/>
        </w:rPr>
      </w:pPr>
      <w:r>
        <w:rPr>
          <w:rFonts w:hint="eastAsia"/>
          <w:sz w:val="24"/>
          <w:szCs w:val="24"/>
        </w:rPr>
        <w:t>已入库品目协议有效期或资质有效期已过的；</w:t>
      </w:r>
    </w:p>
    <w:p>
      <w:pPr>
        <w:pStyle w:val="13"/>
        <w:numPr>
          <w:ilvl w:val="0"/>
          <w:numId w:val="9"/>
        </w:numPr>
        <w:tabs>
          <w:tab w:val="left" w:pos="709"/>
        </w:tabs>
        <w:spacing w:line="360" w:lineRule="auto"/>
        <w:ind w:left="709" w:hanging="709" w:firstLineChars="0"/>
        <w:rPr>
          <w:sz w:val="24"/>
          <w:szCs w:val="24"/>
        </w:rPr>
      </w:pPr>
      <w:r>
        <w:rPr>
          <w:rFonts w:hint="eastAsia"/>
          <w:sz w:val="24"/>
          <w:szCs w:val="24"/>
        </w:rPr>
        <w:t>补充增加其他品目的协议供应资格的。</w:t>
      </w:r>
    </w:p>
    <w:p>
      <w:pPr>
        <w:pStyle w:val="13"/>
        <w:spacing w:line="360" w:lineRule="auto"/>
        <w:ind w:left="720" w:firstLine="0" w:firstLineChars="0"/>
        <w:rPr>
          <w:sz w:val="24"/>
          <w:szCs w:val="24"/>
        </w:rPr>
      </w:pPr>
    </w:p>
    <w:p>
      <w:pPr>
        <w:pStyle w:val="13"/>
        <w:numPr>
          <w:ilvl w:val="0"/>
          <w:numId w:val="1"/>
        </w:numPr>
        <w:spacing w:line="360" w:lineRule="auto"/>
        <w:ind w:firstLineChars="0"/>
        <w:rPr>
          <w:b/>
          <w:sz w:val="28"/>
          <w:szCs w:val="24"/>
        </w:rPr>
      </w:pPr>
      <w:r>
        <w:rPr>
          <w:rFonts w:hint="eastAsia"/>
          <w:b/>
          <w:sz w:val="28"/>
          <w:szCs w:val="24"/>
        </w:rPr>
        <w:t>申请信息填写内容</w:t>
      </w:r>
    </w:p>
    <w:p>
      <w:pPr>
        <w:pStyle w:val="13"/>
        <w:numPr>
          <w:ilvl w:val="0"/>
          <w:numId w:val="10"/>
        </w:numPr>
        <w:spacing w:line="360" w:lineRule="auto"/>
        <w:ind w:firstLineChars="0"/>
        <w:rPr>
          <w:b/>
          <w:sz w:val="24"/>
          <w:szCs w:val="24"/>
        </w:rPr>
      </w:pPr>
      <w:r>
        <w:rPr>
          <w:rFonts w:hint="eastAsia"/>
          <w:b/>
          <w:sz w:val="24"/>
          <w:szCs w:val="24"/>
        </w:rPr>
        <w:t>供应商基本信息</w:t>
      </w:r>
    </w:p>
    <w:p>
      <w:pPr>
        <w:pStyle w:val="13"/>
        <w:numPr>
          <w:ilvl w:val="0"/>
          <w:numId w:val="11"/>
        </w:numPr>
        <w:tabs>
          <w:tab w:val="left" w:pos="709"/>
        </w:tabs>
        <w:spacing w:line="360" w:lineRule="auto"/>
        <w:ind w:left="0" w:firstLine="0" w:firstLineChars="0"/>
        <w:rPr>
          <w:sz w:val="24"/>
          <w:szCs w:val="24"/>
        </w:rPr>
      </w:pPr>
      <w:r>
        <w:rPr>
          <w:rFonts w:hint="eastAsia"/>
          <w:sz w:val="24"/>
          <w:szCs w:val="24"/>
        </w:rPr>
        <w:t>“供应商基本信息”展示的信息除“企业性质”、“定点采购联系人名称”、“联系人手机”和“其他联系方式”以外，均从交易主体信息库中获取，信息不完整的请前往交易主体信息库修改补充。</w:t>
      </w:r>
    </w:p>
    <w:p>
      <w:pPr>
        <w:pStyle w:val="13"/>
        <w:numPr>
          <w:ilvl w:val="0"/>
          <w:numId w:val="11"/>
        </w:numPr>
        <w:tabs>
          <w:tab w:val="left" w:pos="709"/>
        </w:tabs>
        <w:spacing w:line="360" w:lineRule="auto"/>
        <w:ind w:left="0" w:firstLine="0" w:firstLineChars="0"/>
        <w:rPr>
          <w:sz w:val="24"/>
          <w:szCs w:val="24"/>
        </w:rPr>
      </w:pPr>
      <w:r>
        <w:rPr>
          <w:rFonts w:hint="eastAsia"/>
          <w:sz w:val="24"/>
          <w:szCs w:val="24"/>
        </w:rPr>
        <w:t>“企业性质”、“定点采购联系人名称”、“联系人手机”和“其他联系方式”须由供应商在供应商基本信息页面补充完整。其中，企业性质包括“生产企业（制造商）”和“经营企业（经销商）”。属于服务类和工程类的供应商请选择“经营企业（经销商）”。</w:t>
      </w:r>
    </w:p>
    <w:p>
      <w:pPr>
        <w:pStyle w:val="13"/>
        <w:numPr>
          <w:ilvl w:val="0"/>
          <w:numId w:val="10"/>
        </w:numPr>
        <w:spacing w:line="360" w:lineRule="auto"/>
        <w:ind w:firstLineChars="0"/>
        <w:rPr>
          <w:b/>
          <w:sz w:val="24"/>
          <w:szCs w:val="24"/>
        </w:rPr>
      </w:pPr>
      <w:r>
        <w:rPr>
          <w:rFonts w:hint="eastAsia"/>
          <w:b/>
          <w:sz w:val="24"/>
          <w:szCs w:val="24"/>
        </w:rPr>
        <w:t>申请定点资格</w:t>
      </w:r>
    </w:p>
    <w:p>
      <w:pPr>
        <w:spacing w:line="360" w:lineRule="auto"/>
        <w:ind w:firstLine="480" w:firstLineChars="200"/>
        <w:rPr>
          <w:sz w:val="24"/>
          <w:szCs w:val="24"/>
        </w:rPr>
      </w:pPr>
      <w:r>
        <w:rPr>
          <w:rFonts w:hint="eastAsia"/>
          <w:sz w:val="24"/>
          <w:szCs w:val="24"/>
        </w:rPr>
        <w:t>供应商申请参与定点采购供应商征集活动时，根据自身能力和具备的资质证书选择类别和品目，每个类别只能申请一次，每个类别下对应多个品目（类别和品目内容详见第二大点），供应商在同一类别申请中可复选多个品目。</w:t>
      </w:r>
    </w:p>
    <w:p>
      <w:pPr>
        <w:pStyle w:val="13"/>
        <w:numPr>
          <w:ilvl w:val="0"/>
          <w:numId w:val="10"/>
        </w:numPr>
        <w:spacing w:line="360" w:lineRule="auto"/>
        <w:ind w:firstLineChars="0"/>
        <w:rPr>
          <w:b/>
          <w:sz w:val="24"/>
          <w:szCs w:val="24"/>
        </w:rPr>
      </w:pPr>
      <w:r>
        <w:rPr>
          <w:rFonts w:hint="eastAsia"/>
          <w:b/>
          <w:sz w:val="24"/>
          <w:szCs w:val="24"/>
        </w:rPr>
        <w:t>基本资料</w:t>
      </w:r>
    </w:p>
    <w:p>
      <w:pPr>
        <w:spacing w:line="360" w:lineRule="auto"/>
        <w:ind w:firstLine="359" w:firstLineChars="149"/>
        <w:rPr>
          <w:b/>
          <w:sz w:val="24"/>
          <w:szCs w:val="24"/>
        </w:rPr>
      </w:pPr>
      <w:r>
        <w:rPr>
          <w:rFonts w:hint="eastAsia"/>
          <w:b/>
          <w:sz w:val="24"/>
          <w:szCs w:val="24"/>
        </w:rPr>
        <w:t xml:space="preserve"> </w:t>
      </w:r>
      <w:r>
        <w:rPr>
          <w:rFonts w:hint="eastAsia"/>
          <w:sz w:val="24"/>
          <w:szCs w:val="24"/>
        </w:rPr>
        <w:t>供应商申请参与定点采购供应商征集活动需要的资料、来源及相关注意事项如下：</w:t>
      </w:r>
    </w:p>
    <w:tbl>
      <w:tblPr>
        <w:tblStyle w:val="12"/>
        <w:tblW w:w="9039"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17"/>
        <w:gridCol w:w="2126"/>
        <w:gridCol w:w="609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62" w:hRule="atLeast"/>
          <w:tblHeader/>
        </w:trPr>
        <w:tc>
          <w:tcPr>
            <w:tcW w:w="817" w:type="dxa"/>
            <w:shd w:val="pct10" w:color="auto" w:fill="auto"/>
            <w:vAlign w:val="center"/>
          </w:tcPr>
          <w:p>
            <w:pPr>
              <w:spacing w:line="360" w:lineRule="auto"/>
              <w:jc w:val="center"/>
              <w:rPr>
                <w:b/>
                <w:szCs w:val="21"/>
              </w:rPr>
            </w:pPr>
            <w:r>
              <w:rPr>
                <w:rFonts w:hint="eastAsia"/>
                <w:b/>
                <w:szCs w:val="21"/>
              </w:rPr>
              <w:t>序号</w:t>
            </w:r>
          </w:p>
        </w:tc>
        <w:tc>
          <w:tcPr>
            <w:tcW w:w="2126" w:type="dxa"/>
            <w:shd w:val="pct10" w:color="auto" w:fill="auto"/>
            <w:vAlign w:val="center"/>
          </w:tcPr>
          <w:p>
            <w:pPr>
              <w:spacing w:line="360" w:lineRule="auto"/>
              <w:jc w:val="center"/>
              <w:rPr>
                <w:b/>
                <w:szCs w:val="21"/>
              </w:rPr>
            </w:pPr>
            <w:r>
              <w:rPr>
                <w:rFonts w:hint="eastAsia"/>
                <w:b/>
                <w:szCs w:val="21"/>
              </w:rPr>
              <w:t>资料类型</w:t>
            </w:r>
          </w:p>
        </w:tc>
        <w:tc>
          <w:tcPr>
            <w:tcW w:w="6096" w:type="dxa"/>
            <w:shd w:val="pct10" w:color="auto" w:fill="auto"/>
            <w:vAlign w:val="center"/>
          </w:tcPr>
          <w:p>
            <w:pPr>
              <w:spacing w:line="360" w:lineRule="auto"/>
              <w:jc w:val="center"/>
              <w:rPr>
                <w:b/>
                <w:szCs w:val="21"/>
              </w:rPr>
            </w:pPr>
            <w:r>
              <w:rPr>
                <w:rFonts w:hint="eastAsia"/>
                <w:b/>
                <w:szCs w:val="21"/>
              </w:rPr>
              <w:t>来源及相关注意事项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13" w:hRule="atLeast"/>
        </w:trPr>
        <w:tc>
          <w:tcPr>
            <w:tcW w:w="817" w:type="dxa"/>
            <w:vAlign w:val="center"/>
          </w:tcPr>
          <w:p>
            <w:pPr>
              <w:pStyle w:val="13"/>
              <w:numPr>
                <w:ilvl w:val="0"/>
                <w:numId w:val="12"/>
              </w:numPr>
              <w:spacing w:line="360" w:lineRule="auto"/>
              <w:ind w:firstLineChars="0"/>
              <w:jc w:val="center"/>
              <w:rPr>
                <w:szCs w:val="21"/>
              </w:rPr>
            </w:pPr>
          </w:p>
        </w:tc>
        <w:tc>
          <w:tcPr>
            <w:tcW w:w="2126" w:type="dxa"/>
            <w:vAlign w:val="center"/>
          </w:tcPr>
          <w:p>
            <w:pPr>
              <w:jc w:val="center"/>
              <w:rPr>
                <w:szCs w:val="21"/>
              </w:rPr>
            </w:pPr>
            <w:r>
              <w:rPr>
                <w:rFonts w:hint="eastAsia"/>
                <w:szCs w:val="21"/>
              </w:rPr>
              <w:t>企业营业执照</w:t>
            </w:r>
          </w:p>
          <w:p>
            <w:pPr>
              <w:jc w:val="center"/>
              <w:rPr>
                <w:szCs w:val="21"/>
              </w:rPr>
            </w:pPr>
            <w:r>
              <w:rPr>
                <w:rFonts w:hint="eastAsia"/>
                <w:szCs w:val="21"/>
              </w:rPr>
              <w:t>（或自然人身份证）</w:t>
            </w:r>
          </w:p>
        </w:tc>
        <w:tc>
          <w:tcPr>
            <w:tcW w:w="6096" w:type="dxa"/>
            <w:vAlign w:val="center"/>
          </w:tcPr>
          <w:p>
            <w:pPr>
              <w:rPr>
                <w:szCs w:val="21"/>
              </w:rPr>
            </w:pPr>
            <w:r>
              <w:rPr>
                <w:rFonts w:hint="eastAsia"/>
                <w:szCs w:val="21"/>
              </w:rPr>
              <w:t>从交易主体信息库获取</w:t>
            </w:r>
          </w:p>
          <w:p>
            <w:pPr>
              <w:rPr>
                <w:szCs w:val="21"/>
              </w:rPr>
            </w:pPr>
            <w:r>
              <w:rPr>
                <w:rFonts w:hint="eastAsia"/>
                <w:szCs w:val="21"/>
              </w:rPr>
              <w:t>供应商身份是企业的，对应资料为企业营业执照；供应商身份是自然人的，对应资料为自然人身份证；供应商为律师事务所的，对应资料为律师事务所执业许可证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657" w:hRule="atLeast"/>
        </w:trPr>
        <w:tc>
          <w:tcPr>
            <w:tcW w:w="817" w:type="dxa"/>
            <w:vAlign w:val="center"/>
          </w:tcPr>
          <w:p>
            <w:pPr>
              <w:pStyle w:val="13"/>
              <w:numPr>
                <w:ilvl w:val="0"/>
                <w:numId w:val="12"/>
              </w:numPr>
              <w:spacing w:line="360" w:lineRule="auto"/>
              <w:ind w:firstLineChars="0"/>
              <w:jc w:val="center"/>
              <w:rPr>
                <w:szCs w:val="21"/>
              </w:rPr>
            </w:pPr>
          </w:p>
        </w:tc>
        <w:tc>
          <w:tcPr>
            <w:tcW w:w="2126" w:type="dxa"/>
            <w:vAlign w:val="center"/>
          </w:tcPr>
          <w:p>
            <w:pPr>
              <w:jc w:val="center"/>
              <w:rPr>
                <w:szCs w:val="21"/>
              </w:rPr>
            </w:pPr>
            <w:r>
              <w:rPr>
                <w:rFonts w:hint="eastAsia"/>
                <w:szCs w:val="21"/>
              </w:rPr>
              <w:t>审计报告或资信证明</w:t>
            </w:r>
          </w:p>
        </w:tc>
        <w:tc>
          <w:tcPr>
            <w:tcW w:w="6096" w:type="dxa"/>
            <w:vAlign w:val="center"/>
          </w:tcPr>
          <w:p>
            <w:pPr>
              <w:rPr>
                <w:szCs w:val="21"/>
              </w:rPr>
            </w:pPr>
            <w:r>
              <w:rPr>
                <w:rFonts w:hint="eastAsia"/>
                <w:szCs w:val="21"/>
              </w:rPr>
              <w:t>（1）从交易主体信息库获取。</w:t>
            </w:r>
          </w:p>
          <w:p>
            <w:pPr>
              <w:rPr>
                <w:rFonts w:hint="eastAsia"/>
                <w:szCs w:val="21"/>
              </w:rPr>
            </w:pPr>
            <w:r>
              <w:rPr>
                <w:rFonts w:hint="eastAsia"/>
                <w:szCs w:val="21"/>
              </w:rPr>
              <w:t>（2）审计报告：会计师事务所出具的审计报告，上传资料应能反映审计年度、供应商名称、会计师事务所盖章。</w:t>
            </w:r>
          </w:p>
          <w:p>
            <w:pPr>
              <w:rPr>
                <w:rFonts w:hint="eastAsia"/>
                <w:szCs w:val="21"/>
              </w:rPr>
            </w:pPr>
            <w:r>
              <w:rPr>
                <w:rFonts w:hint="eastAsia"/>
                <w:szCs w:val="21"/>
              </w:rPr>
              <w:t>（3）审计报告具体要求：</w:t>
            </w:r>
          </w:p>
          <w:p>
            <w:pPr>
              <w:pStyle w:val="13"/>
              <w:ind w:firstLine="0" w:firstLineChars="0"/>
              <w:rPr>
                <w:szCs w:val="21"/>
              </w:rPr>
            </w:pPr>
            <w:r>
              <w:rPr>
                <w:rFonts w:hint="eastAsia"/>
                <w:szCs w:val="21"/>
              </w:rPr>
              <w:t>①</w:t>
            </w:r>
            <w:r>
              <w:rPr>
                <w:rFonts w:hint="eastAsia"/>
                <w:szCs w:val="21"/>
              </w:rPr>
              <w:tab/>
            </w:r>
            <w:r>
              <w:rPr>
                <w:rFonts w:hint="eastAsia"/>
                <w:szCs w:val="21"/>
              </w:rPr>
              <w:t>提供由第三方会计师事务所出具的审计报告，能清晰显示第三方会计师事务所的印章，并能反映审计结论。</w:t>
            </w:r>
          </w:p>
          <w:p>
            <w:pPr>
              <w:rPr>
                <w:szCs w:val="21"/>
              </w:rPr>
            </w:pPr>
            <w:r>
              <w:rPr>
                <w:rFonts w:hint="eastAsia"/>
                <w:szCs w:val="21"/>
              </w:rPr>
              <w:t>②</w:t>
            </w:r>
            <w:r>
              <w:rPr>
                <w:rFonts w:hint="eastAsia"/>
                <w:szCs w:val="21"/>
              </w:rPr>
              <w:tab/>
            </w:r>
            <w:r>
              <w:rPr>
                <w:rFonts w:hint="eastAsia"/>
                <w:szCs w:val="21"/>
              </w:rPr>
              <w:t>每年6月30日前提交申请的，可提供上一年度或前年的审计报告，每年7月1日起提交申请的，须提交上一年度的审计报告。</w:t>
            </w:r>
          </w:p>
          <w:p>
            <w:pPr>
              <w:rPr>
                <w:rFonts w:hint="eastAsia"/>
                <w:szCs w:val="21"/>
              </w:rPr>
            </w:pPr>
            <w:r>
              <w:rPr>
                <w:rFonts w:hint="eastAsia"/>
                <w:szCs w:val="21"/>
              </w:rPr>
              <w:t>（4）资信证明：基本开户银行出具的资信证明，并同时提交开户（基本户）许可证扫描件。</w:t>
            </w:r>
          </w:p>
          <w:p>
            <w:pPr>
              <w:rPr>
                <w:rFonts w:hint="eastAsia"/>
                <w:szCs w:val="21"/>
              </w:rPr>
            </w:pPr>
            <w:r>
              <w:rPr>
                <w:rFonts w:hint="eastAsia"/>
                <w:szCs w:val="21"/>
              </w:rPr>
              <w:t>（5）资信证明具体要求：</w:t>
            </w:r>
          </w:p>
          <w:p>
            <w:pPr>
              <w:rPr>
                <w:szCs w:val="21"/>
              </w:rPr>
            </w:pPr>
            <w:r>
              <w:rPr>
                <w:rFonts w:hint="eastAsia"/>
                <w:szCs w:val="21"/>
              </w:rPr>
              <w:t>①</w:t>
            </w:r>
            <w:r>
              <w:rPr>
                <w:rFonts w:hint="eastAsia"/>
                <w:szCs w:val="21"/>
              </w:rPr>
              <w:tab/>
            </w:r>
            <w:r>
              <w:rPr>
                <w:rFonts w:hint="eastAsia"/>
                <w:szCs w:val="21"/>
              </w:rPr>
              <w:t>资信证明书内容应能够清晰准确反映供应商最近</w:t>
            </w:r>
            <w:r>
              <w:rPr>
                <w:szCs w:val="21"/>
              </w:rPr>
              <w:t>3</w:t>
            </w:r>
            <w:r>
              <w:rPr>
                <w:rFonts w:hint="eastAsia"/>
                <w:szCs w:val="21"/>
              </w:rPr>
              <w:t>个月内（从提交申请之日起，往前倒推计算）的商业信誉情况。如成立时间不足</w:t>
            </w:r>
            <w:r>
              <w:rPr>
                <w:szCs w:val="21"/>
              </w:rPr>
              <w:t>3</w:t>
            </w:r>
            <w:r>
              <w:rPr>
                <w:rFonts w:hint="eastAsia"/>
                <w:szCs w:val="21"/>
              </w:rPr>
              <w:t>个月的，按其开立基本存款账户开户许可证时间提供。</w:t>
            </w:r>
          </w:p>
          <w:p>
            <w:pPr>
              <w:rPr>
                <w:szCs w:val="21"/>
              </w:rPr>
            </w:pPr>
            <w:r>
              <w:rPr>
                <w:rFonts w:hint="eastAsia"/>
                <w:szCs w:val="21"/>
              </w:rPr>
              <w:t>②</w:t>
            </w:r>
            <w:r>
              <w:rPr>
                <w:szCs w:val="21"/>
              </w:rPr>
              <w:tab/>
            </w:r>
            <w:r>
              <w:rPr>
                <w:rFonts w:hint="eastAsia"/>
                <w:szCs w:val="21"/>
              </w:rPr>
              <w:t>资信证明的落款单位名称必须与开户（基本户）许可证的开户银行名称一致，如不一致的，应提供银行证明，银行无法开具证明的提供其他证明材料。</w:t>
            </w:r>
          </w:p>
          <w:p>
            <w:pPr>
              <w:rPr>
                <w:szCs w:val="21"/>
              </w:rPr>
            </w:pPr>
            <w:r>
              <w:rPr>
                <w:rFonts w:hint="eastAsia"/>
                <w:szCs w:val="21"/>
              </w:rPr>
              <w:t>③</w:t>
            </w:r>
            <w:r>
              <w:rPr>
                <w:szCs w:val="21"/>
              </w:rPr>
              <w:tab/>
            </w:r>
            <w:r>
              <w:rPr>
                <w:rFonts w:hint="eastAsia"/>
                <w:szCs w:val="21"/>
              </w:rPr>
              <w:t>资信证明书格式有抬头的，可以写“佛山市公共资源交易中心”。</w:t>
            </w:r>
          </w:p>
          <w:p>
            <w:pPr>
              <w:rPr>
                <w:szCs w:val="21"/>
              </w:rPr>
            </w:pPr>
            <w:r>
              <w:rPr>
                <w:rFonts w:hint="eastAsia"/>
                <w:szCs w:val="21"/>
              </w:rPr>
              <w:t>④</w:t>
            </w:r>
            <w:r>
              <w:rPr>
                <w:szCs w:val="21"/>
              </w:rPr>
              <w:tab/>
            </w:r>
            <w:r>
              <w:rPr>
                <w:rFonts w:hint="eastAsia"/>
                <w:szCs w:val="21"/>
              </w:rPr>
              <w:t>开户（基本户）许可证已取消的，应提供能体现基本开户银行的“基本存款账户编号”的相关证明。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632" w:hRule="atLeast"/>
        </w:trPr>
        <w:tc>
          <w:tcPr>
            <w:tcW w:w="817" w:type="dxa"/>
            <w:vAlign w:val="center"/>
          </w:tcPr>
          <w:p>
            <w:pPr>
              <w:pStyle w:val="13"/>
              <w:numPr>
                <w:ilvl w:val="0"/>
                <w:numId w:val="12"/>
              </w:numPr>
              <w:spacing w:line="360" w:lineRule="auto"/>
              <w:ind w:firstLineChars="0"/>
              <w:jc w:val="center"/>
              <w:rPr>
                <w:szCs w:val="21"/>
              </w:rPr>
            </w:pPr>
          </w:p>
        </w:tc>
        <w:tc>
          <w:tcPr>
            <w:tcW w:w="2126" w:type="dxa"/>
            <w:vAlign w:val="center"/>
          </w:tcPr>
          <w:p>
            <w:pPr>
              <w:jc w:val="center"/>
              <w:rPr>
                <w:szCs w:val="21"/>
              </w:rPr>
            </w:pPr>
            <w:r>
              <w:rPr>
                <w:rFonts w:hint="eastAsia"/>
                <w:szCs w:val="21"/>
              </w:rPr>
              <w:t>纳税及社保证明</w:t>
            </w:r>
          </w:p>
        </w:tc>
        <w:tc>
          <w:tcPr>
            <w:tcW w:w="6096" w:type="dxa"/>
            <w:vAlign w:val="center"/>
          </w:tcPr>
          <w:p>
            <w:pPr>
              <w:rPr>
                <w:szCs w:val="21"/>
              </w:rPr>
            </w:pPr>
            <w:r>
              <w:rPr>
                <w:rFonts w:hint="eastAsia"/>
                <w:szCs w:val="21"/>
              </w:rPr>
              <w:t>（1）自行上传PDF格式文件后在线签章。</w:t>
            </w:r>
          </w:p>
          <w:p>
            <w:pPr>
              <w:rPr>
                <w:rFonts w:hint="eastAsia"/>
                <w:szCs w:val="21"/>
              </w:rPr>
            </w:pPr>
            <w:r>
              <w:rPr>
                <w:rFonts w:hint="eastAsia"/>
                <w:szCs w:val="21"/>
              </w:rPr>
              <w:t>（2）纳税证明：提供提交申请之日前3个月内的纳税证明，依法免税的供应商应提供相应免税证明文件。如成立时间不足3个月的，应提供成立后依法缴纳税收的证明材料。如供应商在提交申请的当月成立并因税务机关原因而尚未依法缴纳税收的，应提供依法缴纳税收承诺书（格式自拟，加盖电子章），该承诺书视同税收凭据。</w:t>
            </w:r>
          </w:p>
          <w:p>
            <w:pPr>
              <w:rPr>
                <w:rFonts w:hint="eastAsia"/>
                <w:szCs w:val="21"/>
              </w:rPr>
            </w:pPr>
            <w:r>
              <w:rPr>
                <w:rFonts w:hint="eastAsia"/>
                <w:szCs w:val="21"/>
              </w:rPr>
              <w:t>（3）缴纳社保证明：提供提交申请之日前3个月内的缴纳社会保障的凭据扫描件（限：税务机关/社会保障资金管理机关的专用收据或社会保险缴纳清单，或社会保险的银行缴款收讫凭证），依法不需要缴纳社会保障基金的供应商应提供相应免缴证明文件。如成立时间不足3个月的，应提供成立后依法缴纳社会保障资金的证明材料。如供应商在提交申请当月成立并因税务机关/社会保障资金管理机关原因而尚未依法缴纳社会保障资金的，应提供依法缴纳社会保障资金承诺书（格式自拟，加盖电子章），该承诺书视同社会保险凭据。</w:t>
            </w:r>
          </w:p>
          <w:p>
            <w:pPr>
              <w:rPr>
                <w:szCs w:val="21"/>
              </w:rPr>
            </w:pPr>
            <w:r>
              <w:rPr>
                <w:rFonts w:hint="eastAsia"/>
                <w:szCs w:val="21"/>
              </w:rPr>
              <w:t>（4）“依法缴纳税收证明材料”“依法缴纳社会保障资金证明材料”有欠缴记录的，视为未依法缴纳税收/社保。</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trPr>
        <w:tc>
          <w:tcPr>
            <w:tcW w:w="817" w:type="dxa"/>
            <w:vAlign w:val="center"/>
          </w:tcPr>
          <w:p>
            <w:pPr>
              <w:pStyle w:val="13"/>
              <w:numPr>
                <w:ilvl w:val="0"/>
                <w:numId w:val="12"/>
              </w:numPr>
              <w:spacing w:line="360" w:lineRule="auto"/>
              <w:ind w:firstLineChars="0"/>
              <w:jc w:val="center"/>
              <w:rPr>
                <w:szCs w:val="21"/>
              </w:rPr>
            </w:pPr>
          </w:p>
        </w:tc>
        <w:tc>
          <w:tcPr>
            <w:tcW w:w="2126" w:type="dxa"/>
            <w:vAlign w:val="center"/>
          </w:tcPr>
          <w:p>
            <w:pPr>
              <w:jc w:val="center"/>
              <w:rPr>
                <w:szCs w:val="21"/>
              </w:rPr>
            </w:pPr>
            <w:r>
              <w:rPr>
                <w:rFonts w:hint="eastAsia"/>
                <w:szCs w:val="21"/>
              </w:rPr>
              <w:t>履约能力证明</w:t>
            </w:r>
          </w:p>
        </w:tc>
        <w:tc>
          <w:tcPr>
            <w:tcW w:w="6096" w:type="dxa"/>
            <w:vAlign w:val="center"/>
          </w:tcPr>
          <w:p>
            <w:pPr>
              <w:rPr>
                <w:szCs w:val="21"/>
              </w:rPr>
            </w:pPr>
            <w:r>
              <w:rPr>
                <w:rFonts w:hint="eastAsia"/>
                <w:szCs w:val="21"/>
              </w:rPr>
              <w:t>按照模板自行修改后上传PDF格式文件后在线签章</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0" w:hRule="atLeast"/>
        </w:trPr>
        <w:tc>
          <w:tcPr>
            <w:tcW w:w="817" w:type="dxa"/>
            <w:vAlign w:val="center"/>
          </w:tcPr>
          <w:p>
            <w:pPr>
              <w:pStyle w:val="13"/>
              <w:numPr>
                <w:ilvl w:val="0"/>
                <w:numId w:val="12"/>
              </w:numPr>
              <w:spacing w:line="360" w:lineRule="auto"/>
              <w:ind w:firstLineChars="0"/>
              <w:jc w:val="center"/>
              <w:rPr>
                <w:szCs w:val="21"/>
              </w:rPr>
            </w:pPr>
          </w:p>
        </w:tc>
        <w:tc>
          <w:tcPr>
            <w:tcW w:w="2126" w:type="dxa"/>
            <w:vAlign w:val="center"/>
          </w:tcPr>
          <w:p>
            <w:pPr>
              <w:jc w:val="center"/>
              <w:rPr>
                <w:szCs w:val="21"/>
              </w:rPr>
            </w:pPr>
            <w:r>
              <w:rPr>
                <w:rFonts w:hint="eastAsia"/>
                <w:szCs w:val="21"/>
              </w:rPr>
              <w:t>没有重大违法记录的书面声明</w:t>
            </w:r>
          </w:p>
        </w:tc>
        <w:tc>
          <w:tcPr>
            <w:tcW w:w="6096" w:type="dxa"/>
            <w:vAlign w:val="center"/>
          </w:tcPr>
          <w:p>
            <w:pPr>
              <w:rPr>
                <w:szCs w:val="21"/>
              </w:rPr>
            </w:pPr>
            <w:r>
              <w:rPr>
                <w:rFonts w:hint="eastAsia"/>
                <w:szCs w:val="21"/>
              </w:rPr>
              <w:t>按照模板生成后签章上传</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5" w:hRule="atLeast"/>
        </w:trPr>
        <w:tc>
          <w:tcPr>
            <w:tcW w:w="817" w:type="dxa"/>
            <w:vAlign w:val="center"/>
          </w:tcPr>
          <w:p>
            <w:pPr>
              <w:pStyle w:val="13"/>
              <w:numPr>
                <w:ilvl w:val="0"/>
                <w:numId w:val="12"/>
              </w:numPr>
              <w:spacing w:line="360" w:lineRule="auto"/>
              <w:ind w:firstLineChars="0"/>
              <w:jc w:val="center"/>
              <w:rPr>
                <w:szCs w:val="21"/>
              </w:rPr>
            </w:pPr>
          </w:p>
        </w:tc>
        <w:tc>
          <w:tcPr>
            <w:tcW w:w="2126" w:type="dxa"/>
            <w:vAlign w:val="center"/>
          </w:tcPr>
          <w:p>
            <w:pPr>
              <w:jc w:val="center"/>
              <w:rPr>
                <w:szCs w:val="21"/>
              </w:rPr>
            </w:pPr>
            <w:r>
              <w:rPr>
                <w:rFonts w:hint="eastAsia"/>
                <w:szCs w:val="21"/>
              </w:rPr>
              <w:t>网上信用记录查询</w:t>
            </w:r>
          </w:p>
        </w:tc>
        <w:tc>
          <w:tcPr>
            <w:tcW w:w="6096" w:type="dxa"/>
            <w:vAlign w:val="center"/>
          </w:tcPr>
          <w:p>
            <w:pPr>
              <w:rPr>
                <w:szCs w:val="21"/>
              </w:rPr>
            </w:pPr>
            <w:r>
              <w:rPr>
                <w:rFonts w:hint="eastAsia"/>
                <w:szCs w:val="21"/>
              </w:rPr>
              <w:t>按照模板要求提供网页查询结果，自行上传PDF格式文件后在线签章</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 w:hRule="atLeast"/>
        </w:trPr>
        <w:tc>
          <w:tcPr>
            <w:tcW w:w="817" w:type="dxa"/>
            <w:vAlign w:val="center"/>
          </w:tcPr>
          <w:p>
            <w:pPr>
              <w:pStyle w:val="13"/>
              <w:numPr>
                <w:ilvl w:val="0"/>
                <w:numId w:val="12"/>
              </w:numPr>
              <w:spacing w:line="360" w:lineRule="auto"/>
              <w:ind w:firstLineChars="0"/>
              <w:jc w:val="center"/>
              <w:rPr>
                <w:szCs w:val="21"/>
              </w:rPr>
            </w:pPr>
          </w:p>
        </w:tc>
        <w:tc>
          <w:tcPr>
            <w:tcW w:w="2126" w:type="dxa"/>
            <w:vAlign w:val="center"/>
          </w:tcPr>
          <w:p>
            <w:pPr>
              <w:jc w:val="center"/>
              <w:rPr>
                <w:szCs w:val="21"/>
              </w:rPr>
            </w:pPr>
            <w:r>
              <w:rPr>
                <w:rFonts w:hint="eastAsia"/>
                <w:szCs w:val="21"/>
              </w:rPr>
              <w:t>入库承诺书</w:t>
            </w:r>
          </w:p>
        </w:tc>
        <w:tc>
          <w:tcPr>
            <w:tcW w:w="6096" w:type="dxa"/>
            <w:vAlign w:val="center"/>
          </w:tcPr>
          <w:p>
            <w:pPr>
              <w:rPr>
                <w:szCs w:val="21"/>
              </w:rPr>
            </w:pPr>
            <w:r>
              <w:rPr>
                <w:rFonts w:hint="eastAsia"/>
                <w:szCs w:val="21"/>
              </w:rPr>
              <w:t>按照模板生成后签章上传</w:t>
            </w:r>
          </w:p>
        </w:tc>
      </w:tr>
    </w:tbl>
    <w:p>
      <w:pPr>
        <w:spacing w:line="360" w:lineRule="auto"/>
        <w:rPr>
          <w:sz w:val="24"/>
          <w:szCs w:val="24"/>
        </w:rPr>
      </w:pPr>
    </w:p>
    <w:p>
      <w:pPr>
        <w:pStyle w:val="13"/>
        <w:numPr>
          <w:ilvl w:val="0"/>
          <w:numId w:val="10"/>
        </w:numPr>
        <w:spacing w:line="360" w:lineRule="auto"/>
        <w:ind w:firstLineChars="0"/>
        <w:rPr>
          <w:b/>
          <w:sz w:val="24"/>
          <w:szCs w:val="24"/>
        </w:rPr>
      </w:pPr>
      <w:r>
        <w:rPr>
          <w:rFonts w:hint="eastAsia"/>
          <w:b/>
          <w:sz w:val="24"/>
          <w:szCs w:val="24"/>
        </w:rPr>
        <w:t>资质及其他资料</w:t>
      </w:r>
    </w:p>
    <w:p>
      <w:pPr>
        <w:pStyle w:val="13"/>
        <w:numPr>
          <w:ilvl w:val="0"/>
          <w:numId w:val="13"/>
        </w:numPr>
        <w:spacing w:line="360" w:lineRule="auto"/>
        <w:ind w:firstLineChars="0"/>
        <w:rPr>
          <w:b/>
          <w:sz w:val="24"/>
          <w:szCs w:val="24"/>
        </w:rPr>
      </w:pPr>
      <w:r>
        <w:rPr>
          <w:rFonts w:hint="eastAsia"/>
          <w:b/>
          <w:sz w:val="24"/>
          <w:szCs w:val="24"/>
        </w:rPr>
        <w:t>总体要求</w:t>
      </w:r>
    </w:p>
    <w:p>
      <w:pPr>
        <w:pStyle w:val="13"/>
        <w:spacing w:line="360" w:lineRule="auto"/>
        <w:ind w:firstLine="480"/>
        <w:rPr>
          <w:sz w:val="24"/>
          <w:szCs w:val="24"/>
        </w:rPr>
      </w:pPr>
      <w:r>
        <w:rPr>
          <w:rFonts w:hint="eastAsia"/>
          <w:sz w:val="24"/>
          <w:szCs w:val="24"/>
        </w:rPr>
        <w:t>B.工程类、C.服务类、D.电梯及电梯维修和保养三个分类的部分品目需要上传此部分文件，并且这些资料均从交易主体信息库获取。其中，B、C两个类别的资质及其他资料在交易主体信息库的资质证书栏目获取，D类别的资质及其他资料在交易主体信息库的特种设备证照证明栏目获取。</w:t>
      </w:r>
    </w:p>
    <w:p>
      <w:pPr>
        <w:pStyle w:val="13"/>
        <w:spacing w:line="360" w:lineRule="auto"/>
        <w:ind w:firstLine="480"/>
        <w:rPr>
          <w:sz w:val="24"/>
          <w:szCs w:val="24"/>
        </w:rPr>
      </w:pPr>
      <w:r>
        <w:rPr>
          <w:rFonts w:hint="eastAsia"/>
          <w:sz w:val="24"/>
          <w:szCs w:val="24"/>
        </w:rPr>
        <w:t>各供应商在参与定点采购供应商征集活动前应在交易主体信息库的对应栏目中维护资质及其他资料，并正确填写有效期。如资质证书没有有效期的，视为长期有效（设置为2099年12月31日）。</w:t>
      </w:r>
    </w:p>
    <w:p>
      <w:pPr>
        <w:pStyle w:val="13"/>
        <w:spacing w:line="360" w:lineRule="auto"/>
        <w:ind w:firstLine="480"/>
        <w:rPr>
          <w:sz w:val="24"/>
          <w:szCs w:val="24"/>
        </w:rPr>
      </w:pPr>
      <w:r>
        <w:rPr>
          <w:rFonts w:hint="eastAsia"/>
          <w:sz w:val="24"/>
          <w:szCs w:val="24"/>
        </w:rPr>
        <w:t>供应商须确保资质及其他资料（证书、许可证、经销代理资格证明和授权书等）与相关填写信息准确有效。在受理审核期间，确保在有效期内，且与交易主体信息库填写的有效期一致。若审核时发现资质证书有效期不一致或未在有效期内的，将对该供应商的申请作审核不通过处理。</w:t>
      </w:r>
    </w:p>
    <w:p>
      <w:pPr>
        <w:pStyle w:val="13"/>
        <w:spacing w:line="360" w:lineRule="auto"/>
        <w:ind w:firstLine="480"/>
        <w:rPr>
          <w:sz w:val="24"/>
          <w:szCs w:val="24"/>
        </w:rPr>
      </w:pPr>
    </w:p>
    <w:p>
      <w:pPr>
        <w:pStyle w:val="13"/>
        <w:numPr>
          <w:ilvl w:val="0"/>
          <w:numId w:val="13"/>
        </w:numPr>
        <w:spacing w:line="360" w:lineRule="auto"/>
        <w:ind w:firstLineChars="0"/>
        <w:rPr>
          <w:b/>
          <w:sz w:val="24"/>
          <w:szCs w:val="24"/>
        </w:rPr>
      </w:pPr>
      <w:r>
        <w:rPr>
          <w:rFonts w:hint="eastAsia"/>
          <w:b/>
          <w:sz w:val="24"/>
          <w:szCs w:val="24"/>
        </w:rPr>
        <w:t>具体要求</w:t>
      </w:r>
    </w:p>
    <w:p>
      <w:pPr>
        <w:spacing w:line="360" w:lineRule="auto"/>
        <w:rPr>
          <w:b/>
          <w:sz w:val="24"/>
          <w:szCs w:val="24"/>
        </w:rPr>
      </w:pPr>
      <w:r>
        <w:rPr>
          <w:rFonts w:hint="eastAsia"/>
          <w:b/>
          <w:sz w:val="24"/>
          <w:szCs w:val="24"/>
        </w:rPr>
        <w:t>B. 工程类</w:t>
      </w:r>
    </w:p>
    <w:p>
      <w:pPr>
        <w:spacing w:line="360" w:lineRule="auto"/>
        <w:ind w:firstLine="420"/>
        <w:rPr>
          <w:sz w:val="24"/>
          <w:szCs w:val="24"/>
        </w:rPr>
      </w:pPr>
      <w:r>
        <w:rPr>
          <w:rFonts w:hint="eastAsia"/>
          <w:sz w:val="24"/>
          <w:szCs w:val="24"/>
        </w:rPr>
        <w:t>此处涉及的资质请在交易主体信息库的资质证书栏目进行添加维护。</w:t>
      </w:r>
    </w:p>
    <w:tbl>
      <w:tblPr>
        <w:tblStyle w:val="12"/>
        <w:tblW w:w="8755"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75"/>
        <w:gridCol w:w="1418"/>
        <w:gridCol w:w="2835"/>
        <w:gridCol w:w="382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2" w:hRule="atLeast"/>
          <w:tblHeader/>
        </w:trPr>
        <w:tc>
          <w:tcPr>
            <w:tcW w:w="675" w:type="dxa"/>
            <w:tcBorders>
              <w:top w:val="single" w:color="auto" w:sz="4" w:space="0"/>
            </w:tcBorders>
            <w:shd w:val="pct10" w:color="auto" w:fill="auto"/>
          </w:tcPr>
          <w:p>
            <w:pPr>
              <w:spacing w:line="360" w:lineRule="auto"/>
              <w:jc w:val="center"/>
              <w:rPr>
                <w:b/>
                <w:szCs w:val="21"/>
              </w:rPr>
            </w:pPr>
            <w:r>
              <w:rPr>
                <w:rFonts w:hint="eastAsia"/>
                <w:b/>
                <w:szCs w:val="21"/>
              </w:rPr>
              <w:t>序号</w:t>
            </w:r>
          </w:p>
        </w:tc>
        <w:tc>
          <w:tcPr>
            <w:tcW w:w="1418" w:type="dxa"/>
            <w:tcBorders>
              <w:top w:val="single" w:color="auto" w:sz="4" w:space="0"/>
            </w:tcBorders>
            <w:shd w:val="pct10" w:color="auto" w:fill="auto"/>
          </w:tcPr>
          <w:p>
            <w:pPr>
              <w:spacing w:line="360" w:lineRule="auto"/>
              <w:jc w:val="center"/>
              <w:rPr>
                <w:b/>
                <w:szCs w:val="21"/>
              </w:rPr>
            </w:pPr>
            <w:r>
              <w:rPr>
                <w:rFonts w:hint="eastAsia"/>
                <w:b/>
                <w:szCs w:val="21"/>
              </w:rPr>
              <w:t>品目</w:t>
            </w:r>
          </w:p>
        </w:tc>
        <w:tc>
          <w:tcPr>
            <w:tcW w:w="2835" w:type="dxa"/>
            <w:tcBorders>
              <w:top w:val="single" w:color="auto" w:sz="4" w:space="0"/>
            </w:tcBorders>
            <w:shd w:val="pct10" w:color="auto" w:fill="auto"/>
          </w:tcPr>
          <w:p>
            <w:pPr>
              <w:spacing w:line="360" w:lineRule="auto"/>
              <w:jc w:val="center"/>
              <w:rPr>
                <w:b/>
                <w:szCs w:val="21"/>
              </w:rPr>
            </w:pPr>
            <w:r>
              <w:rPr>
                <w:rFonts w:hint="eastAsia"/>
                <w:b/>
                <w:szCs w:val="21"/>
              </w:rPr>
              <w:t>资质要求</w:t>
            </w:r>
          </w:p>
        </w:tc>
        <w:tc>
          <w:tcPr>
            <w:tcW w:w="3827" w:type="dxa"/>
            <w:tcBorders>
              <w:top w:val="single" w:color="auto" w:sz="4" w:space="0"/>
            </w:tcBorders>
            <w:shd w:val="pct10" w:color="auto" w:fill="auto"/>
          </w:tcPr>
          <w:p>
            <w:pPr>
              <w:spacing w:line="360" w:lineRule="auto"/>
              <w:jc w:val="center"/>
              <w:rPr>
                <w:b/>
                <w:szCs w:val="21"/>
              </w:rPr>
            </w:pPr>
            <w:r>
              <w:rPr>
                <w:rFonts w:hint="eastAsia"/>
                <w:b/>
                <w:szCs w:val="21"/>
              </w:rPr>
              <w:t>相关注意事项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26" w:hRule="atLeast"/>
        </w:trPr>
        <w:tc>
          <w:tcPr>
            <w:tcW w:w="675" w:type="dxa"/>
            <w:vAlign w:val="center"/>
          </w:tcPr>
          <w:p>
            <w:pPr>
              <w:spacing w:line="360" w:lineRule="auto"/>
              <w:jc w:val="center"/>
              <w:rPr>
                <w:szCs w:val="21"/>
              </w:rPr>
            </w:pPr>
            <w:r>
              <w:rPr>
                <w:rFonts w:hint="eastAsia"/>
                <w:szCs w:val="21"/>
              </w:rPr>
              <w:t>1</w:t>
            </w:r>
          </w:p>
        </w:tc>
        <w:tc>
          <w:tcPr>
            <w:tcW w:w="1418" w:type="dxa"/>
            <w:vAlign w:val="center"/>
          </w:tcPr>
          <w:p>
            <w:pPr>
              <w:spacing w:line="360" w:lineRule="auto"/>
              <w:jc w:val="center"/>
              <w:rPr>
                <w:szCs w:val="21"/>
              </w:rPr>
            </w:pPr>
            <w:r>
              <w:rPr>
                <w:rFonts w:hint="eastAsia"/>
                <w:szCs w:val="21"/>
              </w:rPr>
              <w:t>装修工程</w:t>
            </w:r>
          </w:p>
        </w:tc>
        <w:tc>
          <w:tcPr>
            <w:tcW w:w="2835" w:type="dxa"/>
            <w:vMerge w:val="restart"/>
            <w:vAlign w:val="center"/>
          </w:tcPr>
          <w:p>
            <w:pPr>
              <w:rPr>
                <w:szCs w:val="21"/>
              </w:rPr>
            </w:pPr>
            <w:r>
              <w:rPr>
                <w:rFonts w:hint="eastAsia"/>
                <w:szCs w:val="21"/>
              </w:rPr>
              <w:t>1、装修修缮专业资质：提供建筑装修装饰工程专业承包资质或建筑装饰装修工程设计与施工资质</w:t>
            </w:r>
          </w:p>
          <w:p>
            <w:pPr>
              <w:rPr>
                <w:szCs w:val="21"/>
              </w:rPr>
            </w:pPr>
            <w:r>
              <w:rPr>
                <w:rFonts w:hint="eastAsia"/>
                <w:szCs w:val="21"/>
              </w:rPr>
              <w:t>2、安全生产许可证</w:t>
            </w:r>
          </w:p>
        </w:tc>
        <w:tc>
          <w:tcPr>
            <w:tcW w:w="3827" w:type="dxa"/>
            <w:vMerge w:val="restart"/>
            <w:vAlign w:val="center"/>
          </w:tcPr>
          <w:p>
            <w:pPr>
              <w:rPr>
                <w:szCs w:val="21"/>
              </w:rPr>
            </w:pPr>
            <w:r>
              <w:rPr>
                <w:rFonts w:hint="eastAsia"/>
                <w:szCs w:val="21"/>
              </w:rPr>
              <w:t>1、装修修缮专业资质：由住建部门颁发。</w:t>
            </w:r>
          </w:p>
          <w:p>
            <w:pPr>
              <w:rPr>
                <w:szCs w:val="21"/>
              </w:rPr>
            </w:pPr>
            <w:r>
              <w:rPr>
                <w:rFonts w:hint="eastAsia"/>
                <w:szCs w:val="21"/>
              </w:rPr>
              <w:t>2、安全生产许可证：由安全监管部门颁发。</w:t>
            </w:r>
          </w:p>
          <w:p>
            <w:pPr>
              <w:rPr>
                <w:szCs w:val="21"/>
              </w:rPr>
            </w:pPr>
            <w:r>
              <w:rPr>
                <w:rFonts w:hint="eastAsia"/>
                <w:szCs w:val="21"/>
              </w:rPr>
              <w:t>3、证书及许可证单位名称与供应商名称一致。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26" w:hRule="atLeast"/>
        </w:trPr>
        <w:tc>
          <w:tcPr>
            <w:tcW w:w="675" w:type="dxa"/>
            <w:vAlign w:val="center"/>
          </w:tcPr>
          <w:p>
            <w:pPr>
              <w:spacing w:line="360" w:lineRule="auto"/>
              <w:jc w:val="center"/>
              <w:rPr>
                <w:szCs w:val="21"/>
              </w:rPr>
            </w:pPr>
            <w:r>
              <w:rPr>
                <w:rFonts w:hint="eastAsia"/>
                <w:szCs w:val="21"/>
              </w:rPr>
              <w:t>2</w:t>
            </w:r>
          </w:p>
        </w:tc>
        <w:tc>
          <w:tcPr>
            <w:tcW w:w="1418" w:type="dxa"/>
            <w:vAlign w:val="center"/>
          </w:tcPr>
          <w:p>
            <w:pPr>
              <w:spacing w:line="360" w:lineRule="auto"/>
              <w:jc w:val="center"/>
              <w:rPr>
                <w:szCs w:val="21"/>
              </w:rPr>
            </w:pPr>
            <w:r>
              <w:rPr>
                <w:rFonts w:hint="eastAsia"/>
                <w:szCs w:val="21"/>
              </w:rPr>
              <w:t>修缮工程</w:t>
            </w:r>
          </w:p>
        </w:tc>
        <w:tc>
          <w:tcPr>
            <w:tcW w:w="2835" w:type="dxa"/>
            <w:vMerge w:val="continue"/>
          </w:tcPr>
          <w:p>
            <w:pPr>
              <w:spacing w:line="360" w:lineRule="auto"/>
              <w:rPr>
                <w:szCs w:val="21"/>
              </w:rPr>
            </w:pPr>
          </w:p>
        </w:tc>
        <w:tc>
          <w:tcPr>
            <w:tcW w:w="3827" w:type="dxa"/>
            <w:vMerge w:val="continue"/>
          </w:tcPr>
          <w:p>
            <w:pPr>
              <w:spacing w:line="360" w:lineRule="auto"/>
              <w:rPr>
                <w:szCs w:val="21"/>
              </w:rPr>
            </w:pPr>
          </w:p>
        </w:tc>
      </w:tr>
    </w:tbl>
    <w:p>
      <w:pPr>
        <w:spacing w:line="360" w:lineRule="auto"/>
        <w:rPr>
          <w:b/>
          <w:sz w:val="24"/>
          <w:szCs w:val="24"/>
        </w:rPr>
      </w:pPr>
    </w:p>
    <w:p>
      <w:pPr>
        <w:spacing w:line="360" w:lineRule="auto"/>
        <w:rPr>
          <w:b/>
          <w:sz w:val="24"/>
          <w:szCs w:val="24"/>
        </w:rPr>
      </w:pPr>
      <w:r>
        <w:rPr>
          <w:rFonts w:hint="eastAsia"/>
          <w:b/>
          <w:sz w:val="24"/>
          <w:szCs w:val="24"/>
        </w:rPr>
        <w:t>C. 服务类</w:t>
      </w:r>
    </w:p>
    <w:p>
      <w:pPr>
        <w:spacing w:line="360" w:lineRule="auto"/>
        <w:rPr>
          <w:sz w:val="24"/>
          <w:szCs w:val="24"/>
        </w:rPr>
      </w:pPr>
      <w:r>
        <w:rPr>
          <w:rFonts w:hint="eastAsia"/>
          <w:sz w:val="24"/>
          <w:szCs w:val="24"/>
        </w:rPr>
        <w:tab/>
      </w:r>
      <w:r>
        <w:rPr>
          <w:rFonts w:hint="eastAsia"/>
          <w:sz w:val="24"/>
          <w:szCs w:val="24"/>
        </w:rPr>
        <w:t>此处涉及的资质请在交易主体信息库的资质证书栏目进行添加维护。</w:t>
      </w:r>
    </w:p>
    <w:tbl>
      <w:tblPr>
        <w:tblStyle w:val="12"/>
        <w:tblW w:w="8755"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75"/>
        <w:gridCol w:w="709"/>
        <w:gridCol w:w="2126"/>
        <w:gridCol w:w="1701"/>
        <w:gridCol w:w="354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77" w:hRule="atLeast"/>
          <w:tblHeader/>
        </w:trPr>
        <w:tc>
          <w:tcPr>
            <w:tcW w:w="675" w:type="dxa"/>
            <w:shd w:val="pct10" w:color="auto" w:fill="auto"/>
            <w:vAlign w:val="center"/>
          </w:tcPr>
          <w:p>
            <w:pPr>
              <w:jc w:val="center"/>
              <w:rPr>
                <w:b/>
                <w:szCs w:val="21"/>
              </w:rPr>
            </w:pPr>
            <w:r>
              <w:rPr>
                <w:rFonts w:hint="eastAsia"/>
                <w:b/>
                <w:szCs w:val="21"/>
              </w:rPr>
              <w:t>序号</w:t>
            </w:r>
          </w:p>
        </w:tc>
        <w:tc>
          <w:tcPr>
            <w:tcW w:w="709" w:type="dxa"/>
            <w:shd w:val="pct10" w:color="auto" w:fill="auto"/>
            <w:vAlign w:val="center"/>
          </w:tcPr>
          <w:p>
            <w:pPr>
              <w:jc w:val="center"/>
              <w:rPr>
                <w:b/>
                <w:szCs w:val="21"/>
              </w:rPr>
            </w:pPr>
            <w:r>
              <w:rPr>
                <w:rFonts w:hint="eastAsia"/>
                <w:b/>
                <w:szCs w:val="21"/>
              </w:rPr>
              <w:t>品目</w:t>
            </w:r>
          </w:p>
        </w:tc>
        <w:tc>
          <w:tcPr>
            <w:tcW w:w="2126" w:type="dxa"/>
            <w:shd w:val="pct10" w:color="auto" w:fill="auto"/>
            <w:vAlign w:val="center"/>
          </w:tcPr>
          <w:p>
            <w:pPr>
              <w:jc w:val="center"/>
              <w:rPr>
                <w:b/>
                <w:szCs w:val="21"/>
              </w:rPr>
            </w:pPr>
            <w:r>
              <w:rPr>
                <w:rFonts w:hint="eastAsia"/>
                <w:b/>
                <w:szCs w:val="21"/>
              </w:rPr>
              <w:t>服务类型</w:t>
            </w:r>
          </w:p>
        </w:tc>
        <w:tc>
          <w:tcPr>
            <w:tcW w:w="1701" w:type="dxa"/>
            <w:shd w:val="pct10" w:color="auto" w:fill="auto"/>
            <w:vAlign w:val="center"/>
          </w:tcPr>
          <w:p>
            <w:pPr>
              <w:jc w:val="center"/>
              <w:rPr>
                <w:b/>
                <w:szCs w:val="21"/>
              </w:rPr>
            </w:pPr>
            <w:r>
              <w:rPr>
                <w:rFonts w:hint="eastAsia"/>
                <w:b/>
                <w:szCs w:val="21"/>
              </w:rPr>
              <w:t>资质要求</w:t>
            </w:r>
          </w:p>
        </w:tc>
        <w:tc>
          <w:tcPr>
            <w:tcW w:w="3544" w:type="dxa"/>
            <w:shd w:val="pct10" w:color="auto" w:fill="auto"/>
            <w:vAlign w:val="center"/>
          </w:tcPr>
          <w:p>
            <w:pPr>
              <w:jc w:val="center"/>
              <w:rPr>
                <w:b/>
                <w:szCs w:val="21"/>
              </w:rPr>
            </w:pPr>
            <w:r>
              <w:rPr>
                <w:rFonts w:hint="eastAsia"/>
                <w:b/>
                <w:szCs w:val="21"/>
              </w:rPr>
              <w:t>相关注意事项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647" w:hRule="atLeast"/>
        </w:trPr>
        <w:tc>
          <w:tcPr>
            <w:tcW w:w="675" w:type="dxa"/>
            <w:vAlign w:val="center"/>
          </w:tcPr>
          <w:p>
            <w:pPr>
              <w:pStyle w:val="13"/>
              <w:numPr>
                <w:ilvl w:val="0"/>
                <w:numId w:val="14"/>
              </w:numPr>
              <w:tabs>
                <w:tab w:val="left" w:pos="260"/>
              </w:tabs>
              <w:ind w:firstLineChars="0"/>
              <w:jc w:val="center"/>
              <w:rPr>
                <w:szCs w:val="21"/>
              </w:rPr>
            </w:pPr>
          </w:p>
        </w:tc>
        <w:tc>
          <w:tcPr>
            <w:tcW w:w="709" w:type="dxa"/>
            <w:vAlign w:val="center"/>
          </w:tcPr>
          <w:p>
            <w:pPr>
              <w:jc w:val="center"/>
              <w:rPr>
                <w:szCs w:val="21"/>
              </w:rPr>
            </w:pPr>
            <w:r>
              <w:rPr>
                <w:rFonts w:hint="eastAsia"/>
                <w:szCs w:val="21"/>
              </w:rPr>
              <w:t>法律服务</w:t>
            </w:r>
          </w:p>
        </w:tc>
        <w:tc>
          <w:tcPr>
            <w:tcW w:w="2126" w:type="dxa"/>
            <w:vAlign w:val="center"/>
          </w:tcPr>
          <w:p>
            <w:pPr>
              <w:jc w:val="center"/>
              <w:rPr>
                <w:szCs w:val="21"/>
              </w:rPr>
            </w:pPr>
            <w:r>
              <w:rPr>
                <w:rFonts w:hint="eastAsia"/>
                <w:szCs w:val="21"/>
              </w:rPr>
              <w:t>/</w:t>
            </w:r>
          </w:p>
        </w:tc>
        <w:tc>
          <w:tcPr>
            <w:tcW w:w="1701" w:type="dxa"/>
            <w:vAlign w:val="center"/>
          </w:tcPr>
          <w:p>
            <w:pPr>
              <w:jc w:val="center"/>
              <w:rPr>
                <w:szCs w:val="21"/>
              </w:rPr>
            </w:pPr>
            <w:r>
              <w:rPr>
                <w:rFonts w:hint="eastAsia"/>
                <w:szCs w:val="21"/>
              </w:rPr>
              <w:t>律师事务所执业许可证</w:t>
            </w:r>
          </w:p>
        </w:tc>
        <w:tc>
          <w:tcPr>
            <w:tcW w:w="3544" w:type="dxa"/>
            <w:vAlign w:val="center"/>
          </w:tcPr>
          <w:p>
            <w:pPr>
              <w:rPr>
                <w:szCs w:val="21"/>
              </w:rPr>
            </w:pPr>
            <w:r>
              <w:rPr>
                <w:rFonts w:hint="eastAsia"/>
                <w:szCs w:val="21"/>
              </w:rPr>
              <w:t>【总所参与】</w:t>
            </w:r>
          </w:p>
          <w:p>
            <w:pPr>
              <w:rPr>
                <w:szCs w:val="21"/>
              </w:rPr>
            </w:pPr>
            <w:r>
              <w:rPr>
                <w:rFonts w:hint="eastAsia"/>
                <w:szCs w:val="21"/>
              </w:rPr>
              <w:t>1、提供律师事务所执业许可。</w:t>
            </w:r>
          </w:p>
          <w:p>
            <w:pPr>
              <w:rPr>
                <w:szCs w:val="21"/>
              </w:rPr>
            </w:pPr>
            <w:r>
              <w:rPr>
                <w:rFonts w:hint="eastAsia"/>
                <w:szCs w:val="21"/>
              </w:rPr>
              <w:t>2、证书单位名称与供应商名称一致。</w:t>
            </w:r>
          </w:p>
          <w:p>
            <w:pPr>
              <w:rPr>
                <w:szCs w:val="21"/>
              </w:rPr>
            </w:pPr>
            <w:r>
              <w:rPr>
                <w:rFonts w:hint="eastAsia"/>
                <w:szCs w:val="21"/>
              </w:rPr>
              <w:t>【分所参与】</w:t>
            </w:r>
          </w:p>
          <w:p>
            <w:pPr>
              <w:rPr>
                <w:szCs w:val="21"/>
              </w:rPr>
            </w:pPr>
            <w:r>
              <w:rPr>
                <w:rFonts w:hint="eastAsia"/>
                <w:szCs w:val="21"/>
              </w:rPr>
              <w:t>1、同时提供总所的律师事务所执业许可证以及总所针对本项目的唯一授权书。若在审核过程中发现多个分所同时提交申请的，所有分所均作审核不通过处理。</w:t>
            </w:r>
          </w:p>
          <w:p>
            <w:pPr>
              <w:rPr>
                <w:szCs w:val="21"/>
              </w:rPr>
            </w:pPr>
            <w:r>
              <w:rPr>
                <w:rFonts w:hint="eastAsia"/>
                <w:szCs w:val="21"/>
              </w:rPr>
              <w:t>2、被授权单位名称与供应商名称一致。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09" w:hRule="atLeast"/>
        </w:trPr>
        <w:tc>
          <w:tcPr>
            <w:tcW w:w="675" w:type="dxa"/>
            <w:vAlign w:val="center"/>
          </w:tcPr>
          <w:p>
            <w:pPr>
              <w:pStyle w:val="13"/>
              <w:numPr>
                <w:ilvl w:val="0"/>
                <w:numId w:val="14"/>
              </w:numPr>
              <w:tabs>
                <w:tab w:val="left" w:pos="260"/>
              </w:tabs>
              <w:ind w:firstLineChars="0"/>
              <w:jc w:val="center"/>
              <w:rPr>
                <w:szCs w:val="21"/>
              </w:rPr>
            </w:pPr>
          </w:p>
        </w:tc>
        <w:tc>
          <w:tcPr>
            <w:tcW w:w="709" w:type="dxa"/>
            <w:vMerge w:val="restart"/>
            <w:vAlign w:val="center"/>
          </w:tcPr>
          <w:p>
            <w:pPr>
              <w:jc w:val="center"/>
              <w:rPr>
                <w:szCs w:val="21"/>
              </w:rPr>
            </w:pPr>
            <w:r>
              <w:rPr>
                <w:rFonts w:hint="eastAsia"/>
                <w:szCs w:val="21"/>
              </w:rPr>
              <w:t>审计服务</w:t>
            </w:r>
          </w:p>
        </w:tc>
        <w:tc>
          <w:tcPr>
            <w:tcW w:w="2126" w:type="dxa"/>
            <w:vAlign w:val="center"/>
          </w:tcPr>
          <w:p>
            <w:pPr>
              <w:jc w:val="center"/>
              <w:rPr>
                <w:szCs w:val="21"/>
              </w:rPr>
            </w:pPr>
            <w:r>
              <w:rPr>
                <w:rFonts w:hint="eastAsia"/>
                <w:szCs w:val="21"/>
              </w:rPr>
              <w:t>审计服务</w:t>
            </w:r>
          </w:p>
          <w:p>
            <w:pPr>
              <w:jc w:val="center"/>
              <w:rPr>
                <w:szCs w:val="21"/>
              </w:rPr>
            </w:pPr>
            <w:r>
              <w:rPr>
                <w:rFonts w:hint="eastAsia"/>
                <w:szCs w:val="21"/>
              </w:rPr>
              <w:t>（会计师事务所）</w:t>
            </w:r>
          </w:p>
        </w:tc>
        <w:tc>
          <w:tcPr>
            <w:tcW w:w="1701" w:type="dxa"/>
            <w:vAlign w:val="center"/>
          </w:tcPr>
          <w:p>
            <w:pPr>
              <w:jc w:val="center"/>
              <w:rPr>
                <w:szCs w:val="21"/>
              </w:rPr>
            </w:pPr>
            <w:r>
              <w:rPr>
                <w:rFonts w:hint="eastAsia"/>
                <w:szCs w:val="21"/>
              </w:rPr>
              <w:t>会计师事务所执业证书</w:t>
            </w:r>
          </w:p>
        </w:tc>
        <w:tc>
          <w:tcPr>
            <w:tcW w:w="3544" w:type="dxa"/>
            <w:vAlign w:val="center"/>
          </w:tcPr>
          <w:p>
            <w:pPr>
              <w:rPr>
                <w:szCs w:val="21"/>
              </w:rPr>
            </w:pPr>
            <w:r>
              <w:rPr>
                <w:rFonts w:hint="eastAsia"/>
                <w:szCs w:val="21"/>
              </w:rPr>
              <w:t>1、财政部门颁发。</w:t>
            </w:r>
          </w:p>
          <w:p>
            <w:pPr>
              <w:rPr>
                <w:szCs w:val="21"/>
              </w:rPr>
            </w:pPr>
            <w:r>
              <w:rPr>
                <w:rFonts w:hint="eastAsia"/>
                <w:szCs w:val="21"/>
              </w:rPr>
              <w:t>2、证书单位名称与供应商名称一致。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68" w:hRule="atLeast"/>
        </w:trPr>
        <w:tc>
          <w:tcPr>
            <w:tcW w:w="675" w:type="dxa"/>
            <w:vAlign w:val="center"/>
          </w:tcPr>
          <w:p>
            <w:pPr>
              <w:pStyle w:val="13"/>
              <w:numPr>
                <w:ilvl w:val="0"/>
                <w:numId w:val="14"/>
              </w:numPr>
              <w:tabs>
                <w:tab w:val="left" w:pos="260"/>
              </w:tabs>
              <w:ind w:firstLineChars="0"/>
              <w:jc w:val="center"/>
              <w:rPr>
                <w:szCs w:val="21"/>
              </w:rPr>
            </w:pPr>
          </w:p>
        </w:tc>
        <w:tc>
          <w:tcPr>
            <w:tcW w:w="709" w:type="dxa"/>
            <w:vMerge w:val="continue"/>
            <w:vAlign w:val="center"/>
          </w:tcPr>
          <w:p>
            <w:pPr>
              <w:jc w:val="center"/>
              <w:rPr>
                <w:szCs w:val="21"/>
              </w:rPr>
            </w:pPr>
          </w:p>
        </w:tc>
        <w:tc>
          <w:tcPr>
            <w:tcW w:w="2126" w:type="dxa"/>
            <w:vAlign w:val="center"/>
          </w:tcPr>
          <w:p>
            <w:pPr>
              <w:jc w:val="center"/>
              <w:rPr>
                <w:szCs w:val="21"/>
              </w:rPr>
            </w:pPr>
            <w:r>
              <w:rPr>
                <w:rFonts w:hint="eastAsia"/>
                <w:szCs w:val="21"/>
              </w:rPr>
              <w:t>审计服务</w:t>
            </w:r>
          </w:p>
          <w:p>
            <w:pPr>
              <w:jc w:val="center"/>
              <w:rPr>
                <w:szCs w:val="21"/>
              </w:rPr>
            </w:pPr>
            <w:r>
              <w:rPr>
                <w:rFonts w:hint="eastAsia"/>
                <w:szCs w:val="21"/>
              </w:rPr>
              <w:t>（税务师事务所）</w:t>
            </w:r>
          </w:p>
        </w:tc>
        <w:tc>
          <w:tcPr>
            <w:tcW w:w="1701" w:type="dxa"/>
            <w:vAlign w:val="center"/>
          </w:tcPr>
          <w:p>
            <w:pPr>
              <w:jc w:val="center"/>
              <w:rPr>
                <w:szCs w:val="21"/>
              </w:rPr>
            </w:pPr>
            <w:r>
              <w:rPr>
                <w:rFonts w:hint="eastAsia"/>
                <w:szCs w:val="21"/>
              </w:rPr>
              <w:t>税务师事务所登记证书或电子证书</w:t>
            </w:r>
          </w:p>
        </w:tc>
        <w:tc>
          <w:tcPr>
            <w:tcW w:w="3544" w:type="dxa"/>
            <w:vAlign w:val="center"/>
          </w:tcPr>
          <w:p>
            <w:pPr>
              <w:rPr>
                <w:szCs w:val="21"/>
              </w:rPr>
            </w:pPr>
            <w:r>
              <w:rPr>
                <w:rFonts w:hint="eastAsia"/>
                <w:szCs w:val="21"/>
              </w:rPr>
              <w:t>1、税务部门颁发。</w:t>
            </w:r>
          </w:p>
          <w:p>
            <w:pPr>
              <w:rPr>
                <w:szCs w:val="21"/>
              </w:rPr>
            </w:pPr>
            <w:r>
              <w:rPr>
                <w:rFonts w:hint="eastAsia"/>
                <w:szCs w:val="21"/>
              </w:rPr>
              <w:t>2、证书单位名称与供应商名称一致。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336" w:hRule="atLeast"/>
        </w:trPr>
        <w:tc>
          <w:tcPr>
            <w:tcW w:w="675" w:type="dxa"/>
            <w:vAlign w:val="center"/>
          </w:tcPr>
          <w:p>
            <w:pPr>
              <w:pStyle w:val="13"/>
              <w:numPr>
                <w:ilvl w:val="0"/>
                <w:numId w:val="14"/>
              </w:numPr>
              <w:tabs>
                <w:tab w:val="left" w:pos="260"/>
              </w:tabs>
              <w:ind w:firstLineChars="0"/>
              <w:jc w:val="center"/>
              <w:rPr>
                <w:szCs w:val="21"/>
              </w:rPr>
            </w:pPr>
          </w:p>
        </w:tc>
        <w:tc>
          <w:tcPr>
            <w:tcW w:w="709" w:type="dxa"/>
            <w:vMerge w:val="restart"/>
            <w:vAlign w:val="center"/>
          </w:tcPr>
          <w:p>
            <w:pPr>
              <w:jc w:val="center"/>
              <w:rPr>
                <w:szCs w:val="21"/>
              </w:rPr>
            </w:pPr>
            <w:r>
              <w:rPr>
                <w:rFonts w:hint="eastAsia"/>
                <w:szCs w:val="21"/>
              </w:rPr>
              <w:t>资产及其他评估服务</w:t>
            </w:r>
          </w:p>
        </w:tc>
        <w:tc>
          <w:tcPr>
            <w:tcW w:w="2126" w:type="dxa"/>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资产及其他评估服务（土地评估机构）</w:t>
            </w:r>
          </w:p>
        </w:tc>
        <w:tc>
          <w:tcPr>
            <w:tcW w:w="1701" w:type="dxa"/>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土地评估机构资质证书</w:t>
            </w:r>
          </w:p>
        </w:tc>
        <w:tc>
          <w:tcPr>
            <w:tcW w:w="3544" w:type="dxa"/>
            <w:vAlign w:val="center"/>
          </w:tcPr>
          <w:p>
            <w:pPr>
              <w:rPr>
                <w:szCs w:val="21"/>
              </w:rPr>
            </w:pPr>
            <w:r>
              <w:rPr>
                <w:rFonts w:hint="eastAsia"/>
                <w:szCs w:val="21"/>
              </w:rPr>
              <w:t>1、省级（或以上）范围执业土地评估资质。若资质证书已经回收的，可提交备案公告或备案材料。</w:t>
            </w:r>
          </w:p>
          <w:p>
            <w:pPr>
              <w:rPr>
                <w:szCs w:val="21"/>
              </w:rPr>
            </w:pPr>
            <w:r>
              <w:rPr>
                <w:rFonts w:hint="eastAsia"/>
                <w:szCs w:val="21"/>
              </w:rPr>
              <w:t>2、证书单位名称与供应商名称一致。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143" w:hRule="atLeast"/>
        </w:trPr>
        <w:tc>
          <w:tcPr>
            <w:tcW w:w="675" w:type="dxa"/>
            <w:vAlign w:val="center"/>
          </w:tcPr>
          <w:p>
            <w:pPr>
              <w:pStyle w:val="13"/>
              <w:numPr>
                <w:ilvl w:val="0"/>
                <w:numId w:val="14"/>
              </w:numPr>
              <w:tabs>
                <w:tab w:val="left" w:pos="260"/>
              </w:tabs>
              <w:ind w:firstLineChars="0"/>
              <w:jc w:val="center"/>
              <w:rPr>
                <w:szCs w:val="21"/>
              </w:rPr>
            </w:pPr>
          </w:p>
        </w:tc>
        <w:tc>
          <w:tcPr>
            <w:tcW w:w="709" w:type="dxa"/>
            <w:vMerge w:val="continue"/>
            <w:vAlign w:val="center"/>
          </w:tcPr>
          <w:p>
            <w:pPr>
              <w:jc w:val="center"/>
              <w:rPr>
                <w:szCs w:val="21"/>
              </w:rPr>
            </w:pPr>
          </w:p>
        </w:tc>
        <w:tc>
          <w:tcPr>
            <w:tcW w:w="2126" w:type="dxa"/>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资产及其他评估服务（资产评估机构）</w:t>
            </w:r>
          </w:p>
        </w:tc>
        <w:tc>
          <w:tcPr>
            <w:tcW w:w="1701" w:type="dxa"/>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资产评估机构资质证书</w:t>
            </w:r>
          </w:p>
        </w:tc>
        <w:tc>
          <w:tcPr>
            <w:tcW w:w="3544" w:type="dxa"/>
            <w:vAlign w:val="center"/>
          </w:tcPr>
          <w:p>
            <w:pPr>
              <w:rPr>
                <w:szCs w:val="21"/>
              </w:rPr>
            </w:pPr>
            <w:r>
              <w:rPr>
                <w:rFonts w:hint="eastAsia"/>
                <w:szCs w:val="21"/>
              </w:rPr>
              <w:t>1、资产评估机构资质证书。若资质证书已经回收的，可提交备案公告或备案材料。</w:t>
            </w:r>
          </w:p>
          <w:p>
            <w:pPr>
              <w:rPr>
                <w:szCs w:val="21"/>
              </w:rPr>
            </w:pPr>
            <w:r>
              <w:rPr>
                <w:rFonts w:hint="eastAsia"/>
                <w:szCs w:val="21"/>
              </w:rPr>
              <w:t>2、证书单位名称与供应商名称一致。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24" w:hRule="atLeast"/>
        </w:trPr>
        <w:tc>
          <w:tcPr>
            <w:tcW w:w="675" w:type="dxa"/>
            <w:vAlign w:val="center"/>
          </w:tcPr>
          <w:p>
            <w:pPr>
              <w:pStyle w:val="13"/>
              <w:numPr>
                <w:ilvl w:val="0"/>
                <w:numId w:val="14"/>
              </w:numPr>
              <w:tabs>
                <w:tab w:val="left" w:pos="260"/>
              </w:tabs>
              <w:ind w:firstLineChars="0"/>
              <w:jc w:val="center"/>
              <w:rPr>
                <w:szCs w:val="21"/>
              </w:rPr>
            </w:pPr>
          </w:p>
        </w:tc>
        <w:tc>
          <w:tcPr>
            <w:tcW w:w="709" w:type="dxa"/>
            <w:vMerge w:val="continue"/>
            <w:vAlign w:val="center"/>
          </w:tcPr>
          <w:p>
            <w:pPr>
              <w:jc w:val="center"/>
              <w:rPr>
                <w:szCs w:val="21"/>
              </w:rPr>
            </w:pPr>
          </w:p>
        </w:tc>
        <w:tc>
          <w:tcPr>
            <w:tcW w:w="2126" w:type="dxa"/>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资产及其他评估服务（房地产评估机构）</w:t>
            </w:r>
          </w:p>
        </w:tc>
        <w:tc>
          <w:tcPr>
            <w:tcW w:w="1701" w:type="dxa"/>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房地产估价机构资质证书</w:t>
            </w:r>
          </w:p>
        </w:tc>
        <w:tc>
          <w:tcPr>
            <w:tcW w:w="3544" w:type="dxa"/>
            <w:vAlign w:val="center"/>
          </w:tcPr>
          <w:p>
            <w:pPr>
              <w:rPr>
                <w:szCs w:val="21"/>
              </w:rPr>
            </w:pPr>
            <w:r>
              <w:rPr>
                <w:rFonts w:hint="eastAsia"/>
                <w:szCs w:val="21"/>
              </w:rPr>
              <w:t>1、房地产估价机构资质证书。若资质证书已经回收的，可提交备案公告或备案材料。</w:t>
            </w:r>
          </w:p>
          <w:p>
            <w:pPr>
              <w:rPr>
                <w:szCs w:val="21"/>
              </w:rPr>
            </w:pPr>
            <w:r>
              <w:rPr>
                <w:rFonts w:hint="eastAsia"/>
                <w:szCs w:val="21"/>
              </w:rPr>
              <w:t>2、证书单位名称与供应商名称一致。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71" w:hRule="atLeast"/>
        </w:trPr>
        <w:tc>
          <w:tcPr>
            <w:tcW w:w="675" w:type="dxa"/>
            <w:vAlign w:val="center"/>
          </w:tcPr>
          <w:p>
            <w:pPr>
              <w:pStyle w:val="13"/>
              <w:numPr>
                <w:ilvl w:val="0"/>
                <w:numId w:val="14"/>
              </w:numPr>
              <w:tabs>
                <w:tab w:val="left" w:pos="260"/>
              </w:tabs>
              <w:ind w:firstLineChars="0"/>
              <w:jc w:val="center"/>
              <w:rPr>
                <w:szCs w:val="21"/>
              </w:rPr>
            </w:pPr>
          </w:p>
        </w:tc>
        <w:tc>
          <w:tcPr>
            <w:tcW w:w="709" w:type="dxa"/>
            <w:vMerge w:val="restart"/>
            <w:vAlign w:val="center"/>
          </w:tcPr>
          <w:p>
            <w:pPr>
              <w:jc w:val="center"/>
              <w:rPr>
                <w:szCs w:val="21"/>
              </w:rPr>
            </w:pPr>
            <w:r>
              <w:rPr>
                <w:rFonts w:hint="eastAsia" w:ascii="宋体" w:hAnsi="宋体" w:eastAsia="宋体" w:cs="宋体"/>
                <w:color w:val="000000"/>
                <w:kern w:val="0"/>
                <w:szCs w:val="21"/>
              </w:rPr>
              <w:t>印刷服务</w:t>
            </w:r>
          </w:p>
        </w:tc>
        <w:tc>
          <w:tcPr>
            <w:tcW w:w="2126" w:type="dxa"/>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出版物印刷品</w:t>
            </w:r>
          </w:p>
        </w:tc>
        <w:tc>
          <w:tcPr>
            <w:tcW w:w="1701" w:type="dxa"/>
            <w:vMerge w:val="restart"/>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印刷经营许可证</w:t>
            </w:r>
          </w:p>
        </w:tc>
        <w:tc>
          <w:tcPr>
            <w:tcW w:w="3544" w:type="dxa"/>
            <w:vMerge w:val="restart"/>
            <w:vAlign w:val="center"/>
          </w:tcPr>
          <w:p>
            <w:pPr>
              <w:rPr>
                <w:szCs w:val="21"/>
              </w:rPr>
            </w:pPr>
            <w:r>
              <w:rPr>
                <w:rFonts w:hint="eastAsia"/>
                <w:szCs w:val="21"/>
              </w:rPr>
              <w:t>1、出版管理部门颁发。</w:t>
            </w:r>
          </w:p>
          <w:p>
            <w:pPr>
              <w:rPr>
                <w:szCs w:val="21"/>
              </w:rPr>
            </w:pPr>
            <w:r>
              <w:rPr>
                <w:rFonts w:hint="eastAsia"/>
                <w:szCs w:val="21"/>
              </w:rPr>
              <w:t>2、许可证单位名称与供应商名称一致。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72" w:hRule="atLeast"/>
        </w:trPr>
        <w:tc>
          <w:tcPr>
            <w:tcW w:w="675" w:type="dxa"/>
            <w:vAlign w:val="center"/>
          </w:tcPr>
          <w:p>
            <w:pPr>
              <w:pStyle w:val="13"/>
              <w:numPr>
                <w:ilvl w:val="0"/>
                <w:numId w:val="14"/>
              </w:numPr>
              <w:tabs>
                <w:tab w:val="left" w:pos="260"/>
              </w:tabs>
              <w:ind w:firstLineChars="0"/>
              <w:jc w:val="center"/>
              <w:rPr>
                <w:szCs w:val="21"/>
              </w:rPr>
            </w:pPr>
          </w:p>
        </w:tc>
        <w:tc>
          <w:tcPr>
            <w:tcW w:w="709" w:type="dxa"/>
            <w:vMerge w:val="continue"/>
            <w:vAlign w:val="center"/>
          </w:tcPr>
          <w:p>
            <w:pPr>
              <w:jc w:val="center"/>
              <w:rPr>
                <w:rFonts w:ascii="宋体" w:hAnsi="宋体" w:eastAsia="宋体" w:cs="宋体"/>
                <w:color w:val="000000"/>
                <w:kern w:val="0"/>
                <w:szCs w:val="21"/>
              </w:rPr>
            </w:pPr>
          </w:p>
        </w:tc>
        <w:tc>
          <w:tcPr>
            <w:tcW w:w="2126" w:type="dxa"/>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其他印刷品</w:t>
            </w:r>
          </w:p>
        </w:tc>
        <w:tc>
          <w:tcPr>
            <w:tcW w:w="1701" w:type="dxa"/>
            <w:vMerge w:val="continue"/>
            <w:vAlign w:val="center"/>
          </w:tcPr>
          <w:p>
            <w:pPr>
              <w:widowControl/>
              <w:jc w:val="center"/>
              <w:rPr>
                <w:rFonts w:ascii="宋体" w:hAnsi="宋体" w:eastAsia="宋体" w:cs="宋体"/>
                <w:color w:val="000000"/>
                <w:kern w:val="0"/>
                <w:szCs w:val="21"/>
              </w:rPr>
            </w:pPr>
          </w:p>
        </w:tc>
        <w:tc>
          <w:tcPr>
            <w:tcW w:w="3544" w:type="dxa"/>
            <w:vMerge w:val="continue"/>
            <w:vAlign w:val="center"/>
          </w:tcPr>
          <w:p>
            <w:pPr>
              <w:rPr>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72" w:hRule="atLeast"/>
        </w:trPr>
        <w:tc>
          <w:tcPr>
            <w:tcW w:w="675" w:type="dxa"/>
            <w:vAlign w:val="center"/>
          </w:tcPr>
          <w:p>
            <w:pPr>
              <w:pStyle w:val="13"/>
              <w:numPr>
                <w:ilvl w:val="0"/>
                <w:numId w:val="14"/>
              </w:numPr>
              <w:tabs>
                <w:tab w:val="left" w:pos="260"/>
              </w:tabs>
              <w:ind w:firstLineChars="0"/>
              <w:jc w:val="center"/>
              <w:rPr>
                <w:szCs w:val="21"/>
              </w:rPr>
            </w:pPr>
          </w:p>
        </w:tc>
        <w:tc>
          <w:tcPr>
            <w:tcW w:w="709" w:type="dxa"/>
            <w:vMerge w:val="continue"/>
            <w:vAlign w:val="center"/>
          </w:tcPr>
          <w:p>
            <w:pPr>
              <w:jc w:val="center"/>
              <w:rPr>
                <w:rFonts w:ascii="宋体" w:hAnsi="宋体" w:eastAsia="宋体" w:cs="宋体"/>
                <w:color w:val="000000"/>
                <w:kern w:val="0"/>
                <w:szCs w:val="21"/>
              </w:rPr>
            </w:pPr>
          </w:p>
        </w:tc>
        <w:tc>
          <w:tcPr>
            <w:tcW w:w="2126" w:type="dxa"/>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包装装潢印刷品</w:t>
            </w:r>
          </w:p>
        </w:tc>
        <w:tc>
          <w:tcPr>
            <w:tcW w:w="1701" w:type="dxa"/>
            <w:vMerge w:val="continue"/>
            <w:vAlign w:val="center"/>
          </w:tcPr>
          <w:p>
            <w:pPr>
              <w:widowControl/>
              <w:jc w:val="center"/>
              <w:rPr>
                <w:rFonts w:ascii="宋体" w:hAnsi="宋体" w:eastAsia="宋体" w:cs="宋体"/>
                <w:color w:val="000000"/>
                <w:kern w:val="0"/>
                <w:szCs w:val="21"/>
              </w:rPr>
            </w:pPr>
          </w:p>
        </w:tc>
        <w:tc>
          <w:tcPr>
            <w:tcW w:w="3544" w:type="dxa"/>
            <w:vMerge w:val="continue"/>
            <w:vAlign w:val="center"/>
          </w:tcPr>
          <w:p>
            <w:pPr>
              <w:rPr>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16" w:hRule="atLeast"/>
        </w:trPr>
        <w:tc>
          <w:tcPr>
            <w:tcW w:w="675" w:type="dxa"/>
            <w:vAlign w:val="center"/>
          </w:tcPr>
          <w:p>
            <w:pPr>
              <w:pStyle w:val="13"/>
              <w:numPr>
                <w:ilvl w:val="0"/>
                <w:numId w:val="14"/>
              </w:numPr>
              <w:tabs>
                <w:tab w:val="left" w:pos="260"/>
              </w:tabs>
              <w:ind w:firstLineChars="0"/>
              <w:jc w:val="center"/>
              <w:rPr>
                <w:szCs w:val="21"/>
              </w:rPr>
            </w:pPr>
          </w:p>
        </w:tc>
        <w:tc>
          <w:tcPr>
            <w:tcW w:w="709" w:type="dxa"/>
            <w:vAlign w:val="center"/>
          </w:tcPr>
          <w:p>
            <w:pPr>
              <w:jc w:val="center"/>
              <w:rPr>
                <w:szCs w:val="21"/>
              </w:rPr>
            </w:pPr>
            <w:r>
              <w:rPr>
                <w:rFonts w:hint="eastAsia"/>
                <w:szCs w:val="21"/>
              </w:rPr>
              <w:t>物业管理服务</w:t>
            </w:r>
          </w:p>
        </w:tc>
        <w:tc>
          <w:tcPr>
            <w:tcW w:w="2126" w:type="dxa"/>
            <w:vAlign w:val="center"/>
          </w:tcPr>
          <w:p>
            <w:pPr>
              <w:jc w:val="center"/>
              <w:rPr>
                <w:szCs w:val="21"/>
              </w:rPr>
            </w:pPr>
            <w:r>
              <w:rPr>
                <w:rFonts w:hint="eastAsia"/>
                <w:szCs w:val="21"/>
              </w:rPr>
              <w:t>保安服务</w:t>
            </w:r>
          </w:p>
        </w:tc>
        <w:tc>
          <w:tcPr>
            <w:tcW w:w="1701" w:type="dxa"/>
            <w:vAlign w:val="center"/>
          </w:tcPr>
          <w:p>
            <w:pPr>
              <w:jc w:val="center"/>
              <w:rPr>
                <w:szCs w:val="21"/>
              </w:rPr>
            </w:pPr>
            <w:r>
              <w:rPr>
                <w:rFonts w:hint="eastAsia"/>
                <w:szCs w:val="21"/>
              </w:rPr>
              <w:t>保安服务许可证</w:t>
            </w:r>
          </w:p>
        </w:tc>
        <w:tc>
          <w:tcPr>
            <w:tcW w:w="3544" w:type="dxa"/>
            <w:vAlign w:val="center"/>
          </w:tcPr>
          <w:p>
            <w:pPr>
              <w:rPr>
                <w:szCs w:val="21"/>
              </w:rPr>
            </w:pPr>
            <w:r>
              <w:rPr>
                <w:rFonts w:hint="eastAsia"/>
                <w:szCs w:val="21"/>
              </w:rPr>
              <w:t>1、由公安部门颁发，许可证单位名称与供应商名称一致。</w:t>
            </w:r>
          </w:p>
          <w:p>
            <w:pPr>
              <w:rPr>
                <w:szCs w:val="21"/>
              </w:rPr>
            </w:pPr>
            <w:r>
              <w:rPr>
                <w:rFonts w:hint="eastAsia"/>
                <w:szCs w:val="21"/>
              </w:rPr>
              <w:t>2、许可证单位名称与供应商名称一致。</w:t>
            </w:r>
          </w:p>
        </w:tc>
      </w:tr>
    </w:tbl>
    <w:p>
      <w:pPr>
        <w:spacing w:line="360" w:lineRule="auto"/>
        <w:rPr>
          <w:sz w:val="24"/>
          <w:szCs w:val="24"/>
        </w:rPr>
      </w:pPr>
    </w:p>
    <w:p>
      <w:pPr>
        <w:spacing w:line="360" w:lineRule="auto"/>
        <w:rPr>
          <w:b/>
          <w:sz w:val="24"/>
          <w:szCs w:val="24"/>
        </w:rPr>
      </w:pPr>
      <w:r>
        <w:rPr>
          <w:rFonts w:hint="eastAsia"/>
          <w:b/>
          <w:sz w:val="24"/>
          <w:szCs w:val="24"/>
        </w:rPr>
        <w:t>D.电梯及电梯维修和保养</w:t>
      </w:r>
    </w:p>
    <w:p>
      <w:pPr>
        <w:spacing w:line="360" w:lineRule="auto"/>
        <w:rPr>
          <w:sz w:val="24"/>
          <w:szCs w:val="24"/>
        </w:rPr>
      </w:pPr>
      <w:r>
        <w:rPr>
          <w:rFonts w:hint="eastAsia"/>
          <w:sz w:val="24"/>
          <w:szCs w:val="24"/>
        </w:rPr>
        <w:tab/>
      </w:r>
      <w:r>
        <w:rPr>
          <w:rFonts w:hint="eastAsia"/>
          <w:sz w:val="24"/>
          <w:szCs w:val="24"/>
        </w:rPr>
        <w:t>供应商性质请在交易主体信息库中进行维护，涉及的资质请在交易主体信息库的特种设备证照栏目进行添加维护。</w:t>
      </w:r>
    </w:p>
    <w:tbl>
      <w:tblPr>
        <w:tblStyle w:val="12"/>
        <w:tblW w:w="8755"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668"/>
        <w:gridCol w:w="850"/>
        <w:gridCol w:w="3119"/>
        <w:gridCol w:w="311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77" w:hRule="atLeast"/>
          <w:tblHeader/>
        </w:trPr>
        <w:tc>
          <w:tcPr>
            <w:tcW w:w="1668" w:type="dxa"/>
            <w:shd w:val="pct10" w:color="auto" w:fill="auto"/>
            <w:vAlign w:val="center"/>
          </w:tcPr>
          <w:p>
            <w:pPr>
              <w:jc w:val="center"/>
              <w:rPr>
                <w:b/>
                <w:szCs w:val="21"/>
              </w:rPr>
            </w:pPr>
            <w:r>
              <w:rPr>
                <w:rFonts w:hint="eastAsia"/>
                <w:b/>
                <w:szCs w:val="21"/>
              </w:rPr>
              <w:t>品目</w:t>
            </w:r>
          </w:p>
          <w:p>
            <w:pPr>
              <w:jc w:val="center"/>
              <w:rPr>
                <w:b/>
                <w:szCs w:val="21"/>
              </w:rPr>
            </w:pPr>
            <w:r>
              <w:rPr>
                <w:rFonts w:hint="eastAsia"/>
                <w:b/>
                <w:szCs w:val="21"/>
              </w:rPr>
              <w:t>(含服务类型)</w:t>
            </w:r>
          </w:p>
        </w:tc>
        <w:tc>
          <w:tcPr>
            <w:tcW w:w="850" w:type="dxa"/>
            <w:shd w:val="pct10" w:color="auto" w:fill="auto"/>
            <w:vAlign w:val="center"/>
          </w:tcPr>
          <w:p>
            <w:pPr>
              <w:jc w:val="center"/>
              <w:rPr>
                <w:b/>
                <w:szCs w:val="21"/>
              </w:rPr>
            </w:pPr>
            <w:r>
              <w:rPr>
                <w:rFonts w:hint="eastAsia"/>
                <w:b/>
                <w:szCs w:val="21"/>
              </w:rPr>
              <w:t>供应商性质</w:t>
            </w:r>
          </w:p>
        </w:tc>
        <w:tc>
          <w:tcPr>
            <w:tcW w:w="3119" w:type="dxa"/>
            <w:shd w:val="pct10" w:color="auto" w:fill="auto"/>
            <w:vAlign w:val="center"/>
          </w:tcPr>
          <w:p>
            <w:pPr>
              <w:jc w:val="center"/>
              <w:rPr>
                <w:b/>
                <w:szCs w:val="21"/>
              </w:rPr>
            </w:pPr>
            <w:r>
              <w:rPr>
                <w:rFonts w:hint="eastAsia"/>
                <w:b/>
                <w:szCs w:val="21"/>
              </w:rPr>
              <w:t>资质要求</w:t>
            </w:r>
          </w:p>
        </w:tc>
        <w:tc>
          <w:tcPr>
            <w:tcW w:w="3118" w:type="dxa"/>
            <w:shd w:val="pct10" w:color="auto" w:fill="auto"/>
            <w:vAlign w:val="center"/>
          </w:tcPr>
          <w:p>
            <w:pPr>
              <w:jc w:val="center"/>
              <w:rPr>
                <w:b/>
                <w:szCs w:val="21"/>
              </w:rPr>
            </w:pPr>
            <w:r>
              <w:rPr>
                <w:rFonts w:hint="eastAsia"/>
                <w:b/>
                <w:szCs w:val="21"/>
              </w:rPr>
              <w:t>相关注意事项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4" w:hRule="atLeast"/>
        </w:trPr>
        <w:tc>
          <w:tcPr>
            <w:tcW w:w="1668" w:type="dxa"/>
            <w:vMerge w:val="restart"/>
            <w:vAlign w:val="center"/>
          </w:tcPr>
          <w:p>
            <w:pPr>
              <w:jc w:val="left"/>
              <w:rPr>
                <w:szCs w:val="21"/>
              </w:rPr>
            </w:pPr>
            <w:r>
              <w:rPr>
                <w:rFonts w:hint="eastAsia"/>
                <w:szCs w:val="21"/>
              </w:rPr>
              <w:t>①电梯</w:t>
            </w:r>
          </w:p>
          <w:p>
            <w:pPr>
              <w:jc w:val="left"/>
              <w:rPr>
                <w:szCs w:val="21"/>
              </w:rPr>
            </w:pPr>
            <w:r>
              <w:rPr>
                <w:rFonts w:hint="eastAsia"/>
                <w:szCs w:val="21"/>
              </w:rPr>
              <w:t>②电梯改造</w:t>
            </w:r>
          </w:p>
          <w:p>
            <w:pPr>
              <w:jc w:val="left"/>
              <w:rPr>
                <w:szCs w:val="21"/>
              </w:rPr>
            </w:pPr>
            <w:r>
              <w:rPr>
                <w:rFonts w:hint="eastAsia"/>
                <w:szCs w:val="21"/>
              </w:rPr>
              <w:t>③电梯修理</w:t>
            </w:r>
          </w:p>
          <w:p>
            <w:pPr>
              <w:jc w:val="left"/>
              <w:rPr>
                <w:szCs w:val="21"/>
              </w:rPr>
            </w:pPr>
            <w:r>
              <w:rPr>
                <w:rFonts w:hint="eastAsia"/>
                <w:szCs w:val="21"/>
              </w:rPr>
              <w:t>④电梯维护保养</w:t>
            </w:r>
          </w:p>
        </w:tc>
        <w:tc>
          <w:tcPr>
            <w:tcW w:w="850" w:type="dxa"/>
            <w:vMerge w:val="restart"/>
            <w:vAlign w:val="center"/>
          </w:tcPr>
          <w:p>
            <w:pPr>
              <w:jc w:val="center"/>
              <w:rPr>
                <w:szCs w:val="21"/>
              </w:rPr>
            </w:pPr>
            <w:r>
              <w:rPr>
                <w:rFonts w:hint="eastAsia"/>
                <w:szCs w:val="21"/>
              </w:rPr>
              <w:t>电梯制造商</w:t>
            </w:r>
          </w:p>
        </w:tc>
        <w:tc>
          <w:tcPr>
            <w:tcW w:w="3119" w:type="dxa"/>
            <w:vAlign w:val="center"/>
          </w:tcPr>
          <w:p>
            <w:pPr>
              <w:widowControl/>
              <w:spacing w:line="276" w:lineRule="auto"/>
              <w:jc w:val="left"/>
              <w:rPr>
                <w:rFonts w:ascii="宋体" w:hAnsi="宋体" w:eastAsia="宋体" w:cs="宋体"/>
                <w:color w:val="000000"/>
                <w:kern w:val="0"/>
                <w:szCs w:val="18"/>
              </w:rPr>
            </w:pPr>
            <w:r>
              <w:rPr>
                <w:rFonts w:hint="eastAsia" w:ascii="宋体" w:hAnsi="宋体" w:eastAsia="宋体" w:cs="宋体"/>
                <w:color w:val="000000"/>
                <w:kern w:val="0"/>
                <w:szCs w:val="18"/>
              </w:rPr>
              <w:t>《特种设备制造许可证》或《特种设备生产许可证》</w:t>
            </w:r>
          </w:p>
        </w:tc>
        <w:tc>
          <w:tcPr>
            <w:tcW w:w="3118" w:type="dxa"/>
            <w:vMerge w:val="restart"/>
            <w:vAlign w:val="center"/>
          </w:tcPr>
          <w:p>
            <w:pPr>
              <w:rPr>
                <w:szCs w:val="21"/>
              </w:rPr>
            </w:pPr>
            <w:r>
              <w:rPr>
                <w:rFonts w:hint="eastAsia"/>
                <w:szCs w:val="21"/>
              </w:rPr>
              <w:t>1、许可项目包括电梯制造。</w:t>
            </w:r>
          </w:p>
          <w:p>
            <w:pPr>
              <w:rPr>
                <w:szCs w:val="21"/>
              </w:rPr>
            </w:pPr>
            <w:r>
              <w:rPr>
                <w:rFonts w:hint="eastAsia"/>
                <w:szCs w:val="21"/>
              </w:rPr>
              <w:t>2、许可证单位名称与供应商名称一致。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01" w:hRule="atLeast"/>
        </w:trPr>
        <w:tc>
          <w:tcPr>
            <w:tcW w:w="1668" w:type="dxa"/>
            <w:vMerge w:val="continue"/>
            <w:vAlign w:val="center"/>
          </w:tcPr>
          <w:p>
            <w:pPr>
              <w:pStyle w:val="13"/>
              <w:numPr>
                <w:ilvl w:val="0"/>
                <w:numId w:val="15"/>
              </w:numPr>
              <w:ind w:left="284" w:hanging="284" w:firstLineChars="0"/>
              <w:jc w:val="left"/>
              <w:rPr>
                <w:szCs w:val="21"/>
              </w:rPr>
            </w:pPr>
          </w:p>
        </w:tc>
        <w:tc>
          <w:tcPr>
            <w:tcW w:w="850" w:type="dxa"/>
            <w:vMerge w:val="continue"/>
            <w:vAlign w:val="center"/>
          </w:tcPr>
          <w:p>
            <w:pPr>
              <w:jc w:val="center"/>
              <w:rPr>
                <w:szCs w:val="21"/>
              </w:rPr>
            </w:pPr>
          </w:p>
        </w:tc>
        <w:tc>
          <w:tcPr>
            <w:tcW w:w="3119" w:type="dxa"/>
            <w:vAlign w:val="center"/>
          </w:tcPr>
          <w:p>
            <w:pPr>
              <w:widowControl/>
              <w:spacing w:line="276" w:lineRule="auto"/>
              <w:jc w:val="left"/>
              <w:rPr>
                <w:rFonts w:ascii="宋体" w:hAnsi="宋体" w:eastAsia="宋体" w:cs="宋体"/>
                <w:color w:val="000000"/>
                <w:kern w:val="0"/>
                <w:szCs w:val="18"/>
              </w:rPr>
            </w:pPr>
            <w:r>
              <w:rPr>
                <w:rFonts w:hint="eastAsia" w:ascii="宋体" w:hAnsi="宋体" w:eastAsia="宋体" w:cs="宋体"/>
                <w:color w:val="000000"/>
                <w:kern w:val="0"/>
                <w:szCs w:val="18"/>
              </w:rPr>
              <w:t>《特种设备安装改造维修许可证》或《特种设备生产许可证》</w:t>
            </w:r>
          </w:p>
        </w:tc>
        <w:tc>
          <w:tcPr>
            <w:tcW w:w="3118" w:type="dxa"/>
            <w:vMerge w:val="continue"/>
          </w:tcPr>
          <w:p>
            <w:pPr>
              <w:rPr>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3" w:hRule="atLeast"/>
        </w:trPr>
        <w:tc>
          <w:tcPr>
            <w:tcW w:w="1668" w:type="dxa"/>
            <w:vMerge w:val="continue"/>
            <w:vAlign w:val="center"/>
          </w:tcPr>
          <w:p>
            <w:pPr>
              <w:pStyle w:val="13"/>
              <w:numPr>
                <w:ilvl w:val="0"/>
                <w:numId w:val="15"/>
              </w:numPr>
              <w:ind w:left="284" w:hanging="284" w:firstLineChars="0"/>
              <w:jc w:val="left"/>
              <w:rPr>
                <w:szCs w:val="21"/>
              </w:rPr>
            </w:pPr>
          </w:p>
        </w:tc>
        <w:tc>
          <w:tcPr>
            <w:tcW w:w="850" w:type="dxa"/>
            <w:vMerge w:val="restart"/>
            <w:vAlign w:val="center"/>
          </w:tcPr>
          <w:p>
            <w:pPr>
              <w:jc w:val="center"/>
              <w:rPr>
                <w:szCs w:val="21"/>
              </w:rPr>
            </w:pPr>
            <w:r>
              <w:rPr>
                <w:rFonts w:hint="eastAsia"/>
                <w:szCs w:val="21"/>
              </w:rPr>
              <w:t>非电梯制造商</w:t>
            </w:r>
          </w:p>
        </w:tc>
        <w:tc>
          <w:tcPr>
            <w:tcW w:w="3119" w:type="dxa"/>
            <w:vAlign w:val="center"/>
          </w:tcPr>
          <w:p>
            <w:pPr>
              <w:widowControl/>
              <w:spacing w:line="276" w:lineRule="auto"/>
              <w:jc w:val="left"/>
              <w:rPr>
                <w:rFonts w:ascii="宋体" w:hAnsi="宋体" w:eastAsia="宋体" w:cs="宋体"/>
                <w:color w:val="000000"/>
                <w:kern w:val="0"/>
                <w:szCs w:val="18"/>
              </w:rPr>
            </w:pPr>
            <w:r>
              <w:rPr>
                <w:rFonts w:hint="eastAsia" w:ascii="宋体" w:hAnsi="宋体" w:eastAsia="宋体" w:cs="宋体"/>
                <w:color w:val="000000"/>
                <w:kern w:val="0"/>
                <w:szCs w:val="18"/>
              </w:rPr>
              <w:t>《特种设备制造许可证》或《特种设备生产许可证》</w:t>
            </w:r>
          </w:p>
        </w:tc>
        <w:tc>
          <w:tcPr>
            <w:tcW w:w="3118" w:type="dxa"/>
            <w:vAlign w:val="center"/>
          </w:tcPr>
          <w:p>
            <w:pPr>
              <w:rPr>
                <w:szCs w:val="21"/>
              </w:rPr>
            </w:pPr>
            <w:r>
              <w:rPr>
                <w:rFonts w:hint="eastAsia"/>
                <w:szCs w:val="21"/>
              </w:rPr>
              <w:t>1、为电梯制造商的许可证。</w:t>
            </w:r>
          </w:p>
          <w:p>
            <w:pPr>
              <w:rPr>
                <w:szCs w:val="21"/>
              </w:rPr>
            </w:pPr>
            <w:r>
              <w:rPr>
                <w:rFonts w:hint="eastAsia"/>
                <w:szCs w:val="21"/>
              </w:rPr>
              <w:t>2、许可项目包括电梯制造。</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 w:hRule="atLeast"/>
        </w:trPr>
        <w:tc>
          <w:tcPr>
            <w:tcW w:w="1668" w:type="dxa"/>
            <w:vMerge w:val="continue"/>
            <w:vAlign w:val="center"/>
          </w:tcPr>
          <w:p>
            <w:pPr>
              <w:pStyle w:val="13"/>
              <w:numPr>
                <w:ilvl w:val="0"/>
                <w:numId w:val="15"/>
              </w:numPr>
              <w:ind w:left="284" w:hanging="284" w:firstLineChars="0"/>
              <w:jc w:val="left"/>
              <w:rPr>
                <w:szCs w:val="21"/>
              </w:rPr>
            </w:pPr>
          </w:p>
        </w:tc>
        <w:tc>
          <w:tcPr>
            <w:tcW w:w="850" w:type="dxa"/>
            <w:vMerge w:val="continue"/>
            <w:vAlign w:val="center"/>
          </w:tcPr>
          <w:p>
            <w:pPr>
              <w:jc w:val="center"/>
              <w:rPr>
                <w:szCs w:val="21"/>
              </w:rPr>
            </w:pPr>
          </w:p>
        </w:tc>
        <w:tc>
          <w:tcPr>
            <w:tcW w:w="3119" w:type="dxa"/>
            <w:vAlign w:val="center"/>
          </w:tcPr>
          <w:p>
            <w:pPr>
              <w:widowControl/>
              <w:spacing w:line="276" w:lineRule="auto"/>
              <w:jc w:val="left"/>
              <w:rPr>
                <w:rFonts w:ascii="宋体" w:hAnsi="宋体" w:eastAsia="宋体" w:cs="宋体"/>
                <w:color w:val="000000"/>
                <w:kern w:val="0"/>
                <w:szCs w:val="18"/>
              </w:rPr>
            </w:pPr>
            <w:r>
              <w:rPr>
                <w:rFonts w:hint="eastAsia" w:ascii="宋体" w:hAnsi="宋体" w:eastAsia="宋体" w:cs="宋体"/>
                <w:color w:val="000000"/>
                <w:kern w:val="0"/>
                <w:szCs w:val="18"/>
              </w:rPr>
              <w:t>《特种设备安装改造维修许可证》或《特种设备生产许可证》</w:t>
            </w:r>
          </w:p>
        </w:tc>
        <w:tc>
          <w:tcPr>
            <w:tcW w:w="3118" w:type="dxa"/>
            <w:vAlign w:val="center"/>
          </w:tcPr>
          <w:p>
            <w:pPr>
              <w:rPr>
                <w:szCs w:val="21"/>
              </w:rPr>
            </w:pPr>
            <w:r>
              <w:rPr>
                <w:rFonts w:hint="eastAsia"/>
                <w:szCs w:val="21"/>
              </w:rPr>
              <w:t>1、为供应商的许可证，且许可项目包括电梯安装。</w:t>
            </w:r>
          </w:p>
          <w:p>
            <w:pPr>
              <w:rPr>
                <w:szCs w:val="21"/>
              </w:rPr>
            </w:pPr>
            <w:r>
              <w:rPr>
                <w:rFonts w:hint="eastAsia"/>
                <w:szCs w:val="21"/>
              </w:rPr>
              <w:t>2、许可证单位名称与供应商名称一致。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 w:hRule="atLeast"/>
        </w:trPr>
        <w:tc>
          <w:tcPr>
            <w:tcW w:w="1668" w:type="dxa"/>
            <w:vMerge w:val="continue"/>
            <w:vAlign w:val="center"/>
          </w:tcPr>
          <w:p>
            <w:pPr>
              <w:pStyle w:val="13"/>
              <w:numPr>
                <w:ilvl w:val="0"/>
                <w:numId w:val="15"/>
              </w:numPr>
              <w:ind w:left="284" w:hanging="284" w:firstLineChars="0"/>
              <w:jc w:val="left"/>
              <w:rPr>
                <w:szCs w:val="21"/>
              </w:rPr>
            </w:pPr>
          </w:p>
        </w:tc>
        <w:tc>
          <w:tcPr>
            <w:tcW w:w="850" w:type="dxa"/>
            <w:vMerge w:val="continue"/>
            <w:vAlign w:val="center"/>
          </w:tcPr>
          <w:p>
            <w:pPr>
              <w:jc w:val="center"/>
              <w:rPr>
                <w:szCs w:val="21"/>
              </w:rPr>
            </w:pPr>
          </w:p>
        </w:tc>
        <w:tc>
          <w:tcPr>
            <w:tcW w:w="3119" w:type="dxa"/>
            <w:vAlign w:val="center"/>
          </w:tcPr>
          <w:p>
            <w:pPr>
              <w:widowControl/>
              <w:spacing w:line="276" w:lineRule="auto"/>
              <w:jc w:val="left"/>
              <w:rPr>
                <w:rFonts w:ascii="宋体" w:hAnsi="宋体" w:eastAsia="宋体" w:cs="宋体"/>
                <w:kern w:val="0"/>
                <w:szCs w:val="18"/>
              </w:rPr>
            </w:pPr>
            <w:r>
              <w:rPr>
                <w:rFonts w:hint="eastAsia" w:ascii="宋体" w:hAnsi="宋体" w:eastAsia="宋体" w:cs="宋体"/>
                <w:kern w:val="0"/>
                <w:szCs w:val="18"/>
              </w:rPr>
              <w:t>电梯品牌经销代理资格证明</w:t>
            </w:r>
          </w:p>
        </w:tc>
        <w:tc>
          <w:tcPr>
            <w:tcW w:w="3118" w:type="dxa"/>
            <w:vAlign w:val="center"/>
          </w:tcPr>
          <w:p>
            <w:pPr>
              <w:rPr>
                <w:szCs w:val="21"/>
              </w:rPr>
            </w:pPr>
            <w:r>
              <w:rPr>
                <w:rFonts w:hint="eastAsia"/>
                <w:szCs w:val="21"/>
              </w:rPr>
              <w:t>1、申请成为①、②、③类定点供应商的，须提供，仅成为④类定点供应商的无须提供。</w:t>
            </w:r>
          </w:p>
          <w:p>
            <w:pPr>
              <w:rPr>
                <w:szCs w:val="21"/>
              </w:rPr>
            </w:pPr>
            <w:r>
              <w:rPr>
                <w:rFonts w:hint="eastAsia"/>
                <w:szCs w:val="21"/>
              </w:rPr>
              <w:t>2、授权代理的单位名称与供应商名称一致。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 w:hRule="atLeast"/>
        </w:trPr>
        <w:tc>
          <w:tcPr>
            <w:tcW w:w="1668" w:type="dxa"/>
            <w:vMerge w:val="continue"/>
            <w:vAlign w:val="center"/>
          </w:tcPr>
          <w:p>
            <w:pPr>
              <w:pStyle w:val="13"/>
              <w:numPr>
                <w:ilvl w:val="0"/>
                <w:numId w:val="15"/>
              </w:numPr>
              <w:ind w:left="284" w:hanging="284" w:firstLineChars="0"/>
              <w:jc w:val="left"/>
              <w:rPr>
                <w:szCs w:val="21"/>
              </w:rPr>
            </w:pPr>
          </w:p>
        </w:tc>
        <w:tc>
          <w:tcPr>
            <w:tcW w:w="850" w:type="dxa"/>
            <w:vMerge w:val="continue"/>
            <w:vAlign w:val="center"/>
          </w:tcPr>
          <w:p>
            <w:pPr>
              <w:jc w:val="center"/>
              <w:rPr>
                <w:szCs w:val="21"/>
              </w:rPr>
            </w:pPr>
          </w:p>
        </w:tc>
        <w:tc>
          <w:tcPr>
            <w:tcW w:w="3119" w:type="dxa"/>
            <w:vAlign w:val="center"/>
          </w:tcPr>
          <w:p>
            <w:pPr>
              <w:widowControl/>
              <w:spacing w:line="276" w:lineRule="auto"/>
              <w:jc w:val="left"/>
              <w:rPr>
                <w:rFonts w:ascii="宋体" w:hAnsi="宋体" w:eastAsia="宋体" w:cs="宋体"/>
                <w:kern w:val="0"/>
                <w:szCs w:val="18"/>
              </w:rPr>
            </w:pPr>
            <w:r>
              <w:rPr>
                <w:rFonts w:hint="eastAsia" w:ascii="宋体" w:hAnsi="宋体" w:eastAsia="宋体" w:cs="宋体"/>
                <w:kern w:val="0"/>
                <w:szCs w:val="18"/>
              </w:rPr>
              <w:t>电梯制造商的授权委托书</w:t>
            </w:r>
          </w:p>
        </w:tc>
        <w:tc>
          <w:tcPr>
            <w:tcW w:w="3118" w:type="dxa"/>
            <w:vAlign w:val="center"/>
          </w:tcPr>
          <w:p>
            <w:pPr>
              <w:rPr>
                <w:szCs w:val="21"/>
              </w:rPr>
            </w:pPr>
            <w:r>
              <w:rPr>
                <w:rFonts w:hint="eastAsia"/>
                <w:szCs w:val="21"/>
              </w:rPr>
              <w:t>1、申请成为①、②、③类定点供应商的，须提供，仅成为④类定点供应商的无须提供。</w:t>
            </w:r>
          </w:p>
          <w:p>
            <w:pPr>
              <w:rPr>
                <w:szCs w:val="21"/>
              </w:rPr>
            </w:pPr>
            <w:r>
              <w:rPr>
                <w:rFonts w:hint="eastAsia"/>
                <w:szCs w:val="21"/>
              </w:rPr>
              <w:t>2、授权代理的单位名称与供应商名称一致。</w:t>
            </w:r>
          </w:p>
        </w:tc>
      </w:tr>
    </w:tbl>
    <w:p>
      <w:pPr>
        <w:spacing w:line="360" w:lineRule="auto"/>
        <w:rPr>
          <w:sz w:val="24"/>
          <w:szCs w:val="24"/>
        </w:rPr>
      </w:pPr>
    </w:p>
    <w:p>
      <w:pPr>
        <w:pStyle w:val="13"/>
        <w:numPr>
          <w:ilvl w:val="0"/>
          <w:numId w:val="1"/>
        </w:numPr>
        <w:spacing w:line="360" w:lineRule="auto"/>
        <w:ind w:firstLineChars="0"/>
        <w:rPr>
          <w:b/>
          <w:sz w:val="28"/>
          <w:szCs w:val="24"/>
        </w:rPr>
      </w:pPr>
      <w:r>
        <w:rPr>
          <w:rFonts w:hint="eastAsia"/>
          <w:b/>
          <w:sz w:val="28"/>
          <w:szCs w:val="24"/>
        </w:rPr>
        <w:t>定点资格申请信息查询</w:t>
      </w:r>
    </w:p>
    <w:p>
      <w:pPr>
        <w:spacing w:line="360" w:lineRule="auto"/>
        <w:ind w:firstLine="480" w:firstLineChars="200"/>
        <w:rPr>
          <w:sz w:val="24"/>
          <w:szCs w:val="24"/>
        </w:rPr>
      </w:pPr>
      <w:r>
        <w:rPr>
          <w:rFonts w:hint="eastAsia"/>
          <w:sz w:val="24"/>
          <w:szCs w:val="24"/>
        </w:rPr>
        <w:t>供应商在信息化综合平台-定点采购-定点资格申请信息查询征集入库申请状态，包括“编辑中”“已提交”。</w:t>
      </w:r>
    </w:p>
    <w:p>
      <w:pPr>
        <w:pStyle w:val="13"/>
        <w:numPr>
          <w:ilvl w:val="0"/>
          <w:numId w:val="16"/>
        </w:numPr>
        <w:spacing w:line="360" w:lineRule="auto"/>
        <w:ind w:firstLineChars="0"/>
        <w:rPr>
          <w:sz w:val="24"/>
          <w:szCs w:val="24"/>
        </w:rPr>
      </w:pPr>
      <w:r>
        <w:rPr>
          <w:rFonts w:hint="eastAsia"/>
          <w:sz w:val="24"/>
          <w:szCs w:val="24"/>
        </w:rPr>
        <w:t>每期征集入库申请截止后，状态转为“审核中”。</w:t>
      </w:r>
    </w:p>
    <w:p>
      <w:pPr>
        <w:pStyle w:val="13"/>
        <w:numPr>
          <w:ilvl w:val="0"/>
          <w:numId w:val="16"/>
        </w:numPr>
        <w:spacing w:line="360" w:lineRule="auto"/>
        <w:ind w:firstLineChars="0"/>
        <w:rPr>
          <w:sz w:val="24"/>
          <w:szCs w:val="24"/>
        </w:rPr>
      </w:pPr>
      <w:r>
        <w:rPr>
          <w:rFonts w:hint="eastAsia"/>
          <w:sz w:val="24"/>
          <w:szCs w:val="24"/>
        </w:rPr>
        <w:t>每期征集入库审核时间结束后，审核通过的状态转为“审核中”，并可查看定点资格有效期；审核不通过的状态转为“审核不通过”，供应商可查询不通过原因。</w:t>
      </w:r>
    </w:p>
    <w:p>
      <w:pPr>
        <w:spacing w:line="360" w:lineRule="auto"/>
        <w:rPr>
          <w:sz w:val="24"/>
          <w:szCs w:val="24"/>
        </w:rPr>
      </w:pPr>
    </w:p>
    <w:p>
      <w:pPr>
        <w:pStyle w:val="13"/>
        <w:numPr>
          <w:ilvl w:val="0"/>
          <w:numId w:val="1"/>
        </w:numPr>
        <w:spacing w:line="360" w:lineRule="auto"/>
        <w:ind w:firstLineChars="0"/>
        <w:rPr>
          <w:b/>
          <w:sz w:val="28"/>
          <w:szCs w:val="24"/>
        </w:rPr>
      </w:pPr>
      <w:r>
        <w:rPr>
          <w:rFonts w:hint="eastAsia"/>
          <w:b/>
          <w:sz w:val="28"/>
          <w:szCs w:val="24"/>
        </w:rPr>
        <w:t>入库及公示</w:t>
      </w:r>
    </w:p>
    <w:p>
      <w:pPr>
        <w:pStyle w:val="13"/>
        <w:numPr>
          <w:ilvl w:val="0"/>
          <w:numId w:val="17"/>
        </w:numPr>
        <w:spacing w:line="360" w:lineRule="auto"/>
        <w:ind w:firstLineChars="0"/>
        <w:rPr>
          <w:sz w:val="24"/>
          <w:szCs w:val="24"/>
        </w:rPr>
      </w:pPr>
      <w:r>
        <w:rPr>
          <w:rFonts w:hint="eastAsia"/>
          <w:b/>
          <w:sz w:val="24"/>
          <w:szCs w:val="24"/>
        </w:rPr>
        <w:t>公示要求</w:t>
      </w:r>
      <w:r>
        <w:rPr>
          <w:rFonts w:hint="eastAsia"/>
          <w:sz w:val="24"/>
          <w:szCs w:val="24"/>
        </w:rPr>
        <w:t>：每期征集入库审核时间结束后，将在佛山市公共资源交易网-政府采购-定点采购专区-公开征集入库公示栏目对审核通过的供应商进行为期5个自然日的公示。公示内容包括供应商申请入库的资料（其中，审计报告或资信证明 和 纳税及社保证明 不对外公示）。</w:t>
      </w:r>
    </w:p>
    <w:p>
      <w:pPr>
        <w:pStyle w:val="13"/>
        <w:numPr>
          <w:ilvl w:val="0"/>
          <w:numId w:val="17"/>
        </w:numPr>
        <w:spacing w:line="360" w:lineRule="auto"/>
        <w:ind w:firstLineChars="0"/>
        <w:rPr>
          <w:sz w:val="24"/>
          <w:szCs w:val="24"/>
        </w:rPr>
      </w:pPr>
      <w:r>
        <w:rPr>
          <w:rFonts w:hint="eastAsia"/>
          <w:b/>
          <w:sz w:val="24"/>
          <w:szCs w:val="24"/>
        </w:rPr>
        <w:t>入库</w:t>
      </w:r>
      <w:r>
        <w:rPr>
          <w:rFonts w:hint="eastAsia"/>
          <w:sz w:val="24"/>
          <w:szCs w:val="24"/>
        </w:rPr>
        <w:t>：公示结束且无异议，将在佛山市公共资源交易网-政府采购-定点采购专区予以公布，并自动成为协议定点供应商。公示有异议的，将暂停其协议供应资格。</w:t>
      </w:r>
    </w:p>
    <w:p>
      <w:pPr>
        <w:pStyle w:val="13"/>
        <w:numPr>
          <w:ilvl w:val="0"/>
          <w:numId w:val="17"/>
        </w:numPr>
        <w:spacing w:line="360" w:lineRule="auto"/>
        <w:ind w:firstLineChars="0"/>
        <w:rPr>
          <w:b/>
          <w:sz w:val="24"/>
          <w:szCs w:val="24"/>
        </w:rPr>
      </w:pPr>
      <w:r>
        <w:rPr>
          <w:rFonts w:hint="eastAsia"/>
          <w:b/>
          <w:sz w:val="24"/>
          <w:szCs w:val="24"/>
        </w:rPr>
        <w:t>定点资格有效期</w:t>
      </w:r>
    </w:p>
    <w:p>
      <w:pPr>
        <w:spacing w:line="360" w:lineRule="auto"/>
        <w:ind w:firstLine="478" w:firstLineChars="199"/>
        <w:rPr>
          <w:sz w:val="24"/>
          <w:szCs w:val="24"/>
        </w:rPr>
      </w:pPr>
      <w:r>
        <w:rPr>
          <w:rFonts w:hint="eastAsia"/>
          <w:sz w:val="24"/>
          <w:szCs w:val="24"/>
        </w:rPr>
        <w:t>根据入库品目分为需要专业资质和无需专业资质两类。</w:t>
      </w:r>
    </w:p>
    <w:p>
      <w:pPr>
        <w:pStyle w:val="13"/>
        <w:numPr>
          <w:ilvl w:val="0"/>
          <w:numId w:val="18"/>
        </w:numPr>
        <w:spacing w:line="360" w:lineRule="auto"/>
        <w:ind w:firstLineChars="0"/>
        <w:rPr>
          <w:b/>
          <w:sz w:val="24"/>
          <w:szCs w:val="24"/>
        </w:rPr>
      </w:pPr>
      <w:r>
        <w:rPr>
          <w:rFonts w:hint="eastAsia"/>
          <w:b/>
          <w:sz w:val="24"/>
          <w:szCs w:val="24"/>
        </w:rPr>
        <w:t>需要专业资质的品目</w:t>
      </w:r>
    </w:p>
    <w:p>
      <w:pPr>
        <w:spacing w:line="360" w:lineRule="auto"/>
        <w:ind w:firstLine="420"/>
        <w:rPr>
          <w:b/>
          <w:sz w:val="24"/>
          <w:szCs w:val="24"/>
        </w:rPr>
      </w:pPr>
      <w:r>
        <w:rPr>
          <w:rFonts w:hint="eastAsia"/>
          <w:sz w:val="24"/>
          <w:szCs w:val="24"/>
        </w:rPr>
        <w:t xml:space="preserve">以下品目协议有效期自 </w:t>
      </w:r>
      <w:r>
        <w:rPr>
          <w:rFonts w:hint="eastAsia"/>
          <w:b/>
          <w:sz w:val="24"/>
          <w:szCs w:val="24"/>
        </w:rPr>
        <w:t>公布之日起三年</w:t>
      </w:r>
      <w:r>
        <w:rPr>
          <w:rFonts w:hint="eastAsia"/>
          <w:sz w:val="24"/>
          <w:szCs w:val="24"/>
        </w:rPr>
        <w:t xml:space="preserve"> 或 </w:t>
      </w:r>
      <w:r>
        <w:rPr>
          <w:rFonts w:hint="eastAsia"/>
          <w:b/>
          <w:sz w:val="24"/>
          <w:szCs w:val="24"/>
        </w:rPr>
        <w:t>资质及其他资料的最短有效期</w:t>
      </w:r>
      <w:r>
        <w:rPr>
          <w:rFonts w:hint="eastAsia"/>
          <w:sz w:val="24"/>
          <w:szCs w:val="24"/>
        </w:rPr>
        <w:t>，以先到达者为本次协议有效期。</w:t>
      </w:r>
    </w:p>
    <w:tbl>
      <w:tblPr>
        <w:tblStyle w:val="12"/>
        <w:tblW w:w="90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6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3" w:hRule="atLeast"/>
        </w:trPr>
        <w:tc>
          <w:tcPr>
            <w:tcW w:w="2943" w:type="dxa"/>
            <w:vAlign w:val="center"/>
          </w:tcPr>
          <w:p>
            <w:pPr>
              <w:spacing w:line="360" w:lineRule="auto"/>
              <w:jc w:val="center"/>
              <w:rPr>
                <w:b/>
                <w:sz w:val="24"/>
                <w:szCs w:val="24"/>
              </w:rPr>
            </w:pPr>
            <w:r>
              <w:rPr>
                <w:rFonts w:hint="eastAsia"/>
                <w:b/>
                <w:sz w:val="24"/>
                <w:szCs w:val="24"/>
              </w:rPr>
              <w:t>类别</w:t>
            </w:r>
          </w:p>
        </w:tc>
        <w:tc>
          <w:tcPr>
            <w:tcW w:w="6106" w:type="dxa"/>
            <w:vAlign w:val="center"/>
          </w:tcPr>
          <w:p>
            <w:pPr>
              <w:spacing w:line="360" w:lineRule="auto"/>
              <w:jc w:val="center"/>
              <w:rPr>
                <w:b/>
                <w:sz w:val="24"/>
                <w:szCs w:val="24"/>
              </w:rPr>
            </w:pPr>
            <w:r>
              <w:rPr>
                <w:rFonts w:hint="eastAsia"/>
                <w:b/>
                <w:sz w:val="24"/>
                <w:szCs w:val="24"/>
              </w:rPr>
              <w:t>品目及服务类型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43" w:type="dxa"/>
            <w:vAlign w:val="center"/>
          </w:tcPr>
          <w:p>
            <w:pPr>
              <w:spacing w:line="360" w:lineRule="auto"/>
              <w:jc w:val="center"/>
              <w:rPr>
                <w:sz w:val="24"/>
                <w:szCs w:val="24"/>
              </w:rPr>
            </w:pPr>
            <w:r>
              <w:rPr>
                <w:rFonts w:hint="eastAsia"/>
                <w:sz w:val="24"/>
                <w:szCs w:val="24"/>
              </w:rPr>
              <w:t>B.工程类</w:t>
            </w:r>
          </w:p>
        </w:tc>
        <w:tc>
          <w:tcPr>
            <w:tcW w:w="6106" w:type="dxa"/>
          </w:tcPr>
          <w:p>
            <w:pPr>
              <w:spacing w:line="360" w:lineRule="auto"/>
              <w:jc w:val="center"/>
              <w:rPr>
                <w:sz w:val="24"/>
                <w:szCs w:val="24"/>
              </w:rPr>
            </w:pPr>
            <w:r>
              <w:rPr>
                <w:rFonts w:hint="eastAsia"/>
                <w:sz w:val="24"/>
                <w:szCs w:val="24"/>
              </w:rPr>
              <w:t>装修工程、修缮工程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3" w:hRule="atLeast"/>
        </w:trPr>
        <w:tc>
          <w:tcPr>
            <w:tcW w:w="2943" w:type="dxa"/>
            <w:vAlign w:val="center"/>
          </w:tcPr>
          <w:p>
            <w:pPr>
              <w:spacing w:line="360" w:lineRule="auto"/>
              <w:jc w:val="center"/>
              <w:rPr>
                <w:sz w:val="24"/>
                <w:szCs w:val="24"/>
              </w:rPr>
            </w:pPr>
            <w:r>
              <w:rPr>
                <w:rFonts w:hint="eastAsia"/>
                <w:sz w:val="24"/>
                <w:szCs w:val="24"/>
              </w:rPr>
              <w:t>C.服务类</w:t>
            </w:r>
          </w:p>
        </w:tc>
        <w:tc>
          <w:tcPr>
            <w:tcW w:w="6106" w:type="dxa"/>
            <w:vAlign w:val="center"/>
          </w:tcPr>
          <w:p>
            <w:pPr>
              <w:rPr>
                <w:sz w:val="24"/>
                <w:szCs w:val="24"/>
              </w:rPr>
            </w:pPr>
            <w:r>
              <w:rPr>
                <w:rFonts w:hint="eastAsia"/>
                <w:sz w:val="24"/>
                <w:szCs w:val="24"/>
              </w:rPr>
              <w:t>法律服务、审计服务、资产及其他评估服务【资产及其他评估服务（土地评估机构）、资产及其他评估服务（资产评估机构）、资产及其他评估服务（房地产评估机构）】、印刷服务、物业管理服务【保安服务】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43" w:type="dxa"/>
            <w:vAlign w:val="center"/>
          </w:tcPr>
          <w:p>
            <w:pPr>
              <w:spacing w:line="360" w:lineRule="auto"/>
              <w:jc w:val="center"/>
              <w:rPr>
                <w:sz w:val="24"/>
                <w:szCs w:val="24"/>
              </w:rPr>
            </w:pPr>
            <w:r>
              <w:rPr>
                <w:rFonts w:hint="eastAsia"/>
                <w:sz w:val="24"/>
                <w:szCs w:val="24"/>
              </w:rPr>
              <w:t>D.电梯及电梯维修和保养</w:t>
            </w:r>
          </w:p>
        </w:tc>
        <w:tc>
          <w:tcPr>
            <w:tcW w:w="6106" w:type="dxa"/>
          </w:tcPr>
          <w:p>
            <w:pPr>
              <w:spacing w:line="360" w:lineRule="auto"/>
              <w:jc w:val="center"/>
              <w:rPr>
                <w:sz w:val="24"/>
                <w:szCs w:val="24"/>
              </w:rPr>
            </w:pPr>
            <w:r>
              <w:rPr>
                <w:rFonts w:hint="eastAsia"/>
                <w:sz w:val="24"/>
                <w:szCs w:val="24"/>
              </w:rPr>
              <w:t>电梯、电梯改造、电梯修理、电梯维护保养</w:t>
            </w:r>
          </w:p>
        </w:tc>
      </w:tr>
    </w:tbl>
    <w:p>
      <w:pPr>
        <w:pStyle w:val="13"/>
        <w:spacing w:line="360" w:lineRule="auto"/>
        <w:ind w:left="720" w:firstLine="0" w:firstLineChars="0"/>
        <w:rPr>
          <w:b/>
          <w:sz w:val="24"/>
          <w:szCs w:val="24"/>
        </w:rPr>
      </w:pPr>
    </w:p>
    <w:p>
      <w:pPr>
        <w:pStyle w:val="13"/>
        <w:numPr>
          <w:ilvl w:val="0"/>
          <w:numId w:val="18"/>
        </w:numPr>
        <w:spacing w:line="360" w:lineRule="auto"/>
        <w:ind w:firstLineChars="0"/>
        <w:rPr>
          <w:b/>
          <w:sz w:val="24"/>
          <w:szCs w:val="24"/>
        </w:rPr>
      </w:pPr>
      <w:r>
        <w:rPr>
          <w:rFonts w:hint="eastAsia"/>
          <w:b/>
          <w:sz w:val="24"/>
          <w:szCs w:val="24"/>
        </w:rPr>
        <w:t>无需专业资质的品目</w:t>
      </w:r>
    </w:p>
    <w:p>
      <w:pPr>
        <w:spacing w:line="360" w:lineRule="auto"/>
        <w:ind w:firstLine="420"/>
        <w:rPr>
          <w:sz w:val="24"/>
          <w:szCs w:val="24"/>
        </w:rPr>
      </w:pPr>
      <w:r>
        <w:rPr>
          <w:rFonts w:hint="eastAsia"/>
          <w:sz w:val="24"/>
          <w:szCs w:val="24"/>
        </w:rPr>
        <w:t>以下品目定点资格有效期为公布之日起3年。</w:t>
      </w:r>
    </w:p>
    <w:tbl>
      <w:tblPr>
        <w:tblStyle w:val="12"/>
        <w:tblW w:w="90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6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3" w:hRule="atLeast"/>
        </w:trPr>
        <w:tc>
          <w:tcPr>
            <w:tcW w:w="2943" w:type="dxa"/>
            <w:vAlign w:val="center"/>
          </w:tcPr>
          <w:p>
            <w:pPr>
              <w:spacing w:line="360" w:lineRule="auto"/>
              <w:jc w:val="center"/>
              <w:rPr>
                <w:b/>
                <w:sz w:val="24"/>
                <w:szCs w:val="24"/>
              </w:rPr>
            </w:pPr>
            <w:r>
              <w:rPr>
                <w:rFonts w:hint="eastAsia"/>
                <w:b/>
                <w:sz w:val="24"/>
                <w:szCs w:val="24"/>
              </w:rPr>
              <w:t>类别</w:t>
            </w:r>
          </w:p>
        </w:tc>
        <w:tc>
          <w:tcPr>
            <w:tcW w:w="6106" w:type="dxa"/>
            <w:vAlign w:val="center"/>
          </w:tcPr>
          <w:p>
            <w:pPr>
              <w:spacing w:line="360" w:lineRule="auto"/>
              <w:jc w:val="center"/>
              <w:rPr>
                <w:b/>
                <w:sz w:val="24"/>
                <w:szCs w:val="24"/>
              </w:rPr>
            </w:pPr>
            <w:r>
              <w:rPr>
                <w:rFonts w:hint="eastAsia"/>
                <w:b/>
                <w:sz w:val="24"/>
                <w:szCs w:val="24"/>
              </w:rPr>
              <w:t>品目及服务类型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43" w:type="dxa"/>
            <w:vAlign w:val="center"/>
          </w:tcPr>
          <w:p>
            <w:pPr>
              <w:spacing w:line="360" w:lineRule="auto"/>
              <w:jc w:val="center"/>
              <w:rPr>
                <w:sz w:val="24"/>
                <w:szCs w:val="24"/>
              </w:rPr>
            </w:pPr>
            <w:r>
              <w:rPr>
                <w:rFonts w:hint="eastAsia"/>
                <w:sz w:val="24"/>
                <w:szCs w:val="24"/>
              </w:rPr>
              <w:t>A.货物及相关维修服务类</w:t>
            </w:r>
          </w:p>
        </w:tc>
        <w:tc>
          <w:tcPr>
            <w:tcW w:w="6106" w:type="dxa"/>
          </w:tcPr>
          <w:p>
            <w:pPr>
              <w:rPr>
                <w:sz w:val="24"/>
                <w:szCs w:val="24"/>
              </w:rPr>
            </w:pPr>
            <w:r>
              <w:rPr>
                <w:rFonts w:hint="eastAsia"/>
                <w:sz w:val="24"/>
                <w:szCs w:val="24"/>
              </w:rPr>
              <w:t>服务器、台式计算机、便携式计算机、交换设备、喷墨打印机、激光打印机、针式打印机、液晶显示器、扫描仪、复印机、投影仪、多功能一体机、通用照相机、速印机、碎纸机、电冰箱、空调机、视频会议系统设备、普通电视设备（电视机）、通用摄像机、家具用具、复印纸、硒鼓粉盒、计算机设备维修和保养服务、办公设备维修和保养服务、空调维修和保养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2" w:hRule="atLeast"/>
        </w:trPr>
        <w:tc>
          <w:tcPr>
            <w:tcW w:w="2943" w:type="dxa"/>
            <w:vAlign w:val="center"/>
          </w:tcPr>
          <w:p>
            <w:pPr>
              <w:spacing w:line="360" w:lineRule="auto"/>
              <w:jc w:val="center"/>
              <w:rPr>
                <w:sz w:val="24"/>
                <w:szCs w:val="24"/>
              </w:rPr>
            </w:pPr>
            <w:r>
              <w:rPr>
                <w:rFonts w:hint="eastAsia"/>
                <w:sz w:val="24"/>
                <w:szCs w:val="24"/>
              </w:rPr>
              <w:t>C.服务类</w:t>
            </w:r>
          </w:p>
        </w:tc>
        <w:tc>
          <w:tcPr>
            <w:tcW w:w="6106" w:type="dxa"/>
            <w:vAlign w:val="center"/>
          </w:tcPr>
          <w:p>
            <w:pPr>
              <w:rPr>
                <w:sz w:val="24"/>
                <w:szCs w:val="24"/>
              </w:rPr>
            </w:pPr>
            <w:r>
              <w:rPr>
                <w:rFonts w:hint="eastAsia"/>
                <w:sz w:val="24"/>
                <w:szCs w:val="24"/>
              </w:rPr>
              <w:t>资产及其他评估服务【资产及其他评估服务（价格评估机构）】、物业管理服务【绿化服务、保洁服务、综合类物业管理服务】</w:t>
            </w:r>
          </w:p>
        </w:tc>
      </w:tr>
    </w:tbl>
    <w:p>
      <w:pPr>
        <w:spacing w:line="360" w:lineRule="auto"/>
        <w:rPr>
          <w:b/>
          <w:sz w:val="24"/>
          <w:szCs w:val="24"/>
        </w:rPr>
      </w:pPr>
    </w:p>
    <w:sectPr>
      <w:footerReference r:id="rId3" w:type="default"/>
      <w:pgSz w:w="11906" w:h="16838"/>
      <w:pgMar w:top="1440" w:right="1276"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74282903"/>
    </w:sdtPr>
    <w:sdtContent>
      <w:sdt>
        <w:sdtPr>
          <w:id w:val="-1669238322"/>
        </w:sdtPr>
        <w:sdtContent>
          <w:p>
            <w:pPr>
              <w:pStyle w:val="5"/>
              <w:jc w:val="center"/>
            </w:pPr>
            <w:r>
              <w:rPr>
                <w:rFonts w:hint="eastAsia"/>
              </w:rPr>
              <w:t>第</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w:t>
            </w:r>
            <w:r>
              <w:rPr>
                <w:rFonts w:hint="eastAsia"/>
                <w:lang w:val="zh-CN"/>
              </w:rPr>
              <w:t>页，共</w:t>
            </w:r>
            <w:r>
              <w:rPr>
                <w:lang w:val="zh-CN"/>
              </w:rPr>
              <w:t xml:space="preserve"> </w:t>
            </w:r>
            <w:r>
              <w:rPr>
                <w:b/>
                <w:bCs/>
                <w:sz w:val="24"/>
                <w:szCs w:val="24"/>
              </w:rPr>
              <w:fldChar w:fldCharType="begin"/>
            </w:r>
            <w:r>
              <w:rPr>
                <w:b/>
                <w:bCs/>
              </w:rPr>
              <w:instrText xml:space="preserve">NUMPAGES</w:instrText>
            </w:r>
            <w:r>
              <w:rPr>
                <w:b/>
                <w:bCs/>
                <w:sz w:val="24"/>
                <w:szCs w:val="24"/>
              </w:rPr>
              <w:fldChar w:fldCharType="separate"/>
            </w:r>
            <w:r>
              <w:rPr>
                <w:b/>
                <w:bCs/>
              </w:rPr>
              <w:t>10</w:t>
            </w:r>
            <w:r>
              <w:rPr>
                <w:b/>
                <w:bCs/>
                <w:sz w:val="24"/>
                <w:szCs w:val="24"/>
              </w:rPr>
              <w:fldChar w:fldCharType="end"/>
            </w:r>
            <w:r>
              <w:rPr>
                <w:rFonts w:hint="eastAsia"/>
                <w:b/>
                <w:bCs/>
                <w:sz w:val="24"/>
                <w:szCs w:val="24"/>
              </w:rPr>
              <w:t xml:space="preserve"> </w:t>
            </w:r>
            <w:r>
              <w:rPr>
                <w:rFonts w:hint="eastAsia"/>
                <w:lang w:val="zh-CN"/>
              </w:rPr>
              <w:t>页</w:t>
            </w:r>
          </w:p>
        </w:sdtContent>
      </w:sdt>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96597"/>
    <w:multiLevelType w:val="multilevel"/>
    <w:tmpl w:val="01F9659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3685D3C"/>
    <w:multiLevelType w:val="multilevel"/>
    <w:tmpl w:val="03685D3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AAF1FD6"/>
    <w:multiLevelType w:val="multilevel"/>
    <w:tmpl w:val="0AAF1FD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AF92036"/>
    <w:multiLevelType w:val="multilevel"/>
    <w:tmpl w:val="0AF9203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00E293B"/>
    <w:multiLevelType w:val="multilevel"/>
    <w:tmpl w:val="100E293B"/>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11BC180B"/>
    <w:multiLevelType w:val="multilevel"/>
    <w:tmpl w:val="11BC180B"/>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21B732AA"/>
    <w:multiLevelType w:val="multilevel"/>
    <w:tmpl w:val="21B732A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5085AA7"/>
    <w:multiLevelType w:val="multilevel"/>
    <w:tmpl w:val="25085AA7"/>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6942DEC"/>
    <w:multiLevelType w:val="multilevel"/>
    <w:tmpl w:val="26942DE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83C4369"/>
    <w:multiLevelType w:val="multilevel"/>
    <w:tmpl w:val="283C436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E680136"/>
    <w:multiLevelType w:val="multilevel"/>
    <w:tmpl w:val="2E680136"/>
    <w:lvl w:ilvl="0" w:tentative="0">
      <w:start w:val="1"/>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EA05A2B"/>
    <w:multiLevelType w:val="multilevel"/>
    <w:tmpl w:val="2EA05A2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63941D3"/>
    <w:multiLevelType w:val="multilevel"/>
    <w:tmpl w:val="463941D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EF369F7"/>
    <w:multiLevelType w:val="multilevel"/>
    <w:tmpl w:val="5EF369F7"/>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609E5AFE"/>
    <w:multiLevelType w:val="multilevel"/>
    <w:tmpl w:val="609E5AFE"/>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43D3646"/>
    <w:multiLevelType w:val="multilevel"/>
    <w:tmpl w:val="643D364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6B4873EA"/>
    <w:multiLevelType w:val="multilevel"/>
    <w:tmpl w:val="6B4873E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6F4C7DDC"/>
    <w:multiLevelType w:val="multilevel"/>
    <w:tmpl w:val="6F4C7DDC"/>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0"/>
  </w:num>
  <w:num w:numId="2">
    <w:abstractNumId w:val="6"/>
  </w:num>
  <w:num w:numId="3">
    <w:abstractNumId w:val="2"/>
  </w:num>
  <w:num w:numId="4">
    <w:abstractNumId w:val="11"/>
  </w:num>
  <w:num w:numId="5">
    <w:abstractNumId w:val="15"/>
  </w:num>
  <w:num w:numId="6">
    <w:abstractNumId w:val="5"/>
  </w:num>
  <w:num w:numId="7">
    <w:abstractNumId w:val="13"/>
  </w:num>
  <w:num w:numId="8">
    <w:abstractNumId w:val="4"/>
  </w:num>
  <w:num w:numId="9">
    <w:abstractNumId w:val="16"/>
  </w:num>
  <w:num w:numId="10">
    <w:abstractNumId w:val="9"/>
  </w:num>
  <w:num w:numId="11">
    <w:abstractNumId w:val="7"/>
  </w:num>
  <w:num w:numId="12">
    <w:abstractNumId w:val="0"/>
  </w:num>
  <w:num w:numId="13">
    <w:abstractNumId w:val="14"/>
  </w:num>
  <w:num w:numId="14">
    <w:abstractNumId w:val="1"/>
  </w:num>
  <w:num w:numId="15">
    <w:abstractNumId w:val="8"/>
  </w:num>
  <w:num w:numId="16">
    <w:abstractNumId w:val="3"/>
  </w:num>
  <w:num w:numId="17">
    <w:abstractNumId w:val="12"/>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FD4"/>
    <w:rsid w:val="000111A5"/>
    <w:rsid w:val="00022B21"/>
    <w:rsid w:val="00040E01"/>
    <w:rsid w:val="000572B6"/>
    <w:rsid w:val="00071C70"/>
    <w:rsid w:val="00093CD2"/>
    <w:rsid w:val="000C0EFA"/>
    <w:rsid w:val="00135CE8"/>
    <w:rsid w:val="001620B7"/>
    <w:rsid w:val="0018155E"/>
    <w:rsid w:val="001A253F"/>
    <w:rsid w:val="001C7FD4"/>
    <w:rsid w:val="001D1461"/>
    <w:rsid w:val="001E155A"/>
    <w:rsid w:val="00260E43"/>
    <w:rsid w:val="002624DB"/>
    <w:rsid w:val="00295E7A"/>
    <w:rsid w:val="002A3E97"/>
    <w:rsid w:val="002A4CDE"/>
    <w:rsid w:val="002B1499"/>
    <w:rsid w:val="002B228F"/>
    <w:rsid w:val="002C54C4"/>
    <w:rsid w:val="002D37AB"/>
    <w:rsid w:val="002E3461"/>
    <w:rsid w:val="002E7955"/>
    <w:rsid w:val="003009B3"/>
    <w:rsid w:val="00320C37"/>
    <w:rsid w:val="003314F4"/>
    <w:rsid w:val="003A2F38"/>
    <w:rsid w:val="003A3D9C"/>
    <w:rsid w:val="003C211F"/>
    <w:rsid w:val="003D052D"/>
    <w:rsid w:val="003F7392"/>
    <w:rsid w:val="003F756E"/>
    <w:rsid w:val="00401916"/>
    <w:rsid w:val="0041522A"/>
    <w:rsid w:val="0041639A"/>
    <w:rsid w:val="004626D4"/>
    <w:rsid w:val="00473BEE"/>
    <w:rsid w:val="00475D09"/>
    <w:rsid w:val="004763F9"/>
    <w:rsid w:val="004D1685"/>
    <w:rsid w:val="004E1782"/>
    <w:rsid w:val="004E3394"/>
    <w:rsid w:val="00516252"/>
    <w:rsid w:val="00524ECD"/>
    <w:rsid w:val="00553FC1"/>
    <w:rsid w:val="00554991"/>
    <w:rsid w:val="005C518F"/>
    <w:rsid w:val="005D3E29"/>
    <w:rsid w:val="005D49DB"/>
    <w:rsid w:val="006059C3"/>
    <w:rsid w:val="006104D5"/>
    <w:rsid w:val="006245FC"/>
    <w:rsid w:val="00625D0F"/>
    <w:rsid w:val="00640A1E"/>
    <w:rsid w:val="00640E67"/>
    <w:rsid w:val="006476B3"/>
    <w:rsid w:val="00650D75"/>
    <w:rsid w:val="006600A2"/>
    <w:rsid w:val="00680F65"/>
    <w:rsid w:val="00681136"/>
    <w:rsid w:val="006905A8"/>
    <w:rsid w:val="00692693"/>
    <w:rsid w:val="006C5ACE"/>
    <w:rsid w:val="006D1093"/>
    <w:rsid w:val="006D4942"/>
    <w:rsid w:val="00747848"/>
    <w:rsid w:val="00751057"/>
    <w:rsid w:val="007614AD"/>
    <w:rsid w:val="007A2A79"/>
    <w:rsid w:val="007B33FA"/>
    <w:rsid w:val="007D4703"/>
    <w:rsid w:val="00805B30"/>
    <w:rsid w:val="008109AD"/>
    <w:rsid w:val="00820C33"/>
    <w:rsid w:val="00832440"/>
    <w:rsid w:val="008B0759"/>
    <w:rsid w:val="008C2C2F"/>
    <w:rsid w:val="009271A8"/>
    <w:rsid w:val="00941F49"/>
    <w:rsid w:val="00942519"/>
    <w:rsid w:val="009451BA"/>
    <w:rsid w:val="00963D61"/>
    <w:rsid w:val="009657BC"/>
    <w:rsid w:val="009A26C9"/>
    <w:rsid w:val="009A29D7"/>
    <w:rsid w:val="009B7FB3"/>
    <w:rsid w:val="009C2D0C"/>
    <w:rsid w:val="009C6818"/>
    <w:rsid w:val="009D136A"/>
    <w:rsid w:val="00A0340B"/>
    <w:rsid w:val="00A21589"/>
    <w:rsid w:val="00A301B8"/>
    <w:rsid w:val="00A66330"/>
    <w:rsid w:val="00A80BB4"/>
    <w:rsid w:val="00A87BDF"/>
    <w:rsid w:val="00AA318E"/>
    <w:rsid w:val="00AB65A8"/>
    <w:rsid w:val="00AC5C05"/>
    <w:rsid w:val="00AE48FA"/>
    <w:rsid w:val="00B0357A"/>
    <w:rsid w:val="00B8630C"/>
    <w:rsid w:val="00B91FE3"/>
    <w:rsid w:val="00B94963"/>
    <w:rsid w:val="00BF6776"/>
    <w:rsid w:val="00C16743"/>
    <w:rsid w:val="00CA2ECA"/>
    <w:rsid w:val="00CD7998"/>
    <w:rsid w:val="00CE4FA6"/>
    <w:rsid w:val="00CE7AE2"/>
    <w:rsid w:val="00CF6AB0"/>
    <w:rsid w:val="00D223C3"/>
    <w:rsid w:val="00D2356D"/>
    <w:rsid w:val="00DD524C"/>
    <w:rsid w:val="00DD6650"/>
    <w:rsid w:val="00E16C00"/>
    <w:rsid w:val="00E6408E"/>
    <w:rsid w:val="00E75D77"/>
    <w:rsid w:val="00E86DCB"/>
    <w:rsid w:val="00E92F81"/>
    <w:rsid w:val="00E97ED1"/>
    <w:rsid w:val="00EA0FE5"/>
    <w:rsid w:val="00ED307C"/>
    <w:rsid w:val="00ED3731"/>
    <w:rsid w:val="00EF655A"/>
    <w:rsid w:val="00F16BD0"/>
    <w:rsid w:val="00F274DF"/>
    <w:rsid w:val="00F46F71"/>
    <w:rsid w:val="00F66E1A"/>
    <w:rsid w:val="00F94ACA"/>
    <w:rsid w:val="00FC7682"/>
    <w:rsid w:val="00FD02BF"/>
    <w:rsid w:val="00FF6F2B"/>
    <w:rsid w:val="4C0F4304"/>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11">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8"/>
    <w:unhideWhenUsed/>
    <w:qFormat/>
    <w:uiPriority w:val="99"/>
    <w:rPr>
      <w:b/>
      <w:bCs/>
    </w:rPr>
  </w:style>
  <w:style w:type="paragraph" w:styleId="3">
    <w:name w:val="annotation text"/>
    <w:basedOn w:val="1"/>
    <w:link w:val="17"/>
    <w:unhideWhenUsed/>
    <w:qFormat/>
    <w:uiPriority w:val="99"/>
    <w:pPr>
      <w:jc w:val="left"/>
    </w:pPr>
  </w:style>
  <w:style w:type="paragraph" w:styleId="4">
    <w:name w:val="Balloon Text"/>
    <w:basedOn w:val="1"/>
    <w:link w:val="16"/>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FollowedHyperlink"/>
    <w:basedOn w:val="7"/>
    <w:unhideWhenUsed/>
    <w:qFormat/>
    <w:uiPriority w:val="99"/>
    <w:rPr>
      <w:color w:val="800080" w:themeColor="followedHyperlink"/>
      <w:u w:val="single"/>
      <w14:textFill>
        <w14:solidFill>
          <w14:schemeClr w14:val="folHlink"/>
        </w14:solidFill>
      </w14:textFill>
    </w:rPr>
  </w:style>
  <w:style w:type="character" w:styleId="9">
    <w:name w:val="Hyperlink"/>
    <w:basedOn w:val="7"/>
    <w:unhideWhenUsed/>
    <w:qFormat/>
    <w:uiPriority w:val="99"/>
    <w:rPr>
      <w:color w:val="0000FF" w:themeColor="hyperlink"/>
      <w:u w:val="single"/>
      <w14:textFill>
        <w14:solidFill>
          <w14:schemeClr w14:val="hlink"/>
        </w14:solidFill>
      </w14:textFill>
    </w:rPr>
  </w:style>
  <w:style w:type="character" w:styleId="10">
    <w:name w:val="annotation reference"/>
    <w:basedOn w:val="7"/>
    <w:unhideWhenUsed/>
    <w:qFormat/>
    <w:uiPriority w:val="99"/>
    <w:rPr>
      <w:sz w:val="21"/>
      <w:szCs w:val="21"/>
    </w:rPr>
  </w:style>
  <w:style w:type="table" w:styleId="12">
    <w:name w:val="Table Grid"/>
    <w:basedOn w:val="11"/>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3">
    <w:name w:val="List Paragraph"/>
    <w:basedOn w:val="1"/>
    <w:qFormat/>
    <w:uiPriority w:val="34"/>
    <w:pPr>
      <w:ind w:firstLine="420" w:firstLineChars="200"/>
    </w:pPr>
  </w:style>
  <w:style w:type="character" w:customStyle="1" w:styleId="14">
    <w:name w:val="页眉 Char"/>
    <w:basedOn w:val="7"/>
    <w:link w:val="6"/>
    <w:qFormat/>
    <w:uiPriority w:val="99"/>
    <w:rPr>
      <w:sz w:val="18"/>
      <w:szCs w:val="18"/>
    </w:rPr>
  </w:style>
  <w:style w:type="character" w:customStyle="1" w:styleId="15">
    <w:name w:val="页脚 Char"/>
    <w:basedOn w:val="7"/>
    <w:link w:val="5"/>
    <w:qFormat/>
    <w:uiPriority w:val="99"/>
    <w:rPr>
      <w:sz w:val="18"/>
      <w:szCs w:val="18"/>
    </w:rPr>
  </w:style>
  <w:style w:type="character" w:customStyle="1" w:styleId="16">
    <w:name w:val="批注框文本 Char"/>
    <w:basedOn w:val="7"/>
    <w:link w:val="4"/>
    <w:semiHidden/>
    <w:qFormat/>
    <w:uiPriority w:val="99"/>
    <w:rPr>
      <w:sz w:val="18"/>
      <w:szCs w:val="18"/>
    </w:rPr>
  </w:style>
  <w:style w:type="character" w:customStyle="1" w:styleId="17">
    <w:name w:val="批注文字 Char"/>
    <w:basedOn w:val="7"/>
    <w:link w:val="3"/>
    <w:semiHidden/>
    <w:qFormat/>
    <w:uiPriority w:val="99"/>
  </w:style>
  <w:style w:type="character" w:customStyle="1" w:styleId="18">
    <w:name w:val="批注主题 Char"/>
    <w:basedOn w:val="17"/>
    <w:link w:val="2"/>
    <w:semiHidden/>
    <w:uiPriority w:val="99"/>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10</Pages>
  <Words>1091</Words>
  <Characters>6222</Characters>
  <Lines>51</Lines>
  <Paragraphs>14</Paragraphs>
  <ScaleCrop>false</ScaleCrop>
  <LinksUpToDate>false</LinksUpToDate>
  <CharactersWithSpaces>7299</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2019-11-05T03:29:00Z</dcterms:created>
  <dc:creator>吕锦嫦</dc:creator>
  <cp:lastModifiedBy>朱静</cp:lastModifiedBy>
  <cp:lastPrinted>2019-11-08T03:49:09Z</cp:lastPrinted>
  <dcterms:modified xsi:type="dcterms:W3CDTF">2019-11-08T03:49:13Z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