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ind w:right="24"/>
        <w:jc w:val="left"/>
        <w:rPr>
          <w:rFonts w:hint="eastAsia" w:ascii="黑体" w:hAnsi="黑体" w:eastAsia="黑体" w:cs="Times New Roman"/>
          <w:spacing w:val="-6"/>
          <w:sz w:val="32"/>
          <w:szCs w:val="20"/>
          <w:lang w:val="en-US" w:eastAsia="zh-CN"/>
        </w:rPr>
      </w:pPr>
      <w:r>
        <w:rPr>
          <w:rFonts w:hint="eastAsia" w:ascii="黑体" w:hAnsi="黑体" w:eastAsia="黑体" w:cs="Times New Roman"/>
          <w:spacing w:val="-6"/>
          <w:sz w:val="32"/>
          <w:szCs w:val="20"/>
          <w:lang w:val="en-US" w:eastAsia="zh-CN"/>
        </w:rPr>
        <w:t>附件：</w:t>
      </w: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Times New Roman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32"/>
          <w:lang w:val="en-US" w:eastAsia="zh-CN"/>
        </w:rPr>
        <w:t>佛山市参与地方立法工作优秀律师名单</w:t>
      </w:r>
    </w:p>
    <w:p>
      <w:pPr>
        <w:pStyle w:val="2"/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（按姓氏笔划排序）</w:t>
      </w:r>
    </w:p>
    <w:p>
      <w:pPr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魏  艳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北京市盈科（佛山）律师事务所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漆  婷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广东方普律师事务所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曹建宇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广东盈宇律师事务所</w:t>
      </w:r>
      <w:bookmarkStart w:id="0" w:name="_GoBack"/>
      <w:bookmarkEnd w:id="0"/>
    </w:p>
    <w:p>
      <w:pPr>
        <w:pStyle w:val="2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黄毅杰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广东金信方正律师事务所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郭华寿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广东至高律师事务所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金三宝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广东卓盈律师事务所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招伟松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广东至高律师事务所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92" w:rightChars="-44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陈志坤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广东泽康律师事务所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杨小菁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广东创誉律师事务所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陈志辉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广东正念律师事务所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李欣蕾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广东实丰律师事务所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刘金财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广东品高律师事务所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陈嘉慧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广东通建律师事务所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何  敏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广东正帆律师事务所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江  敏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广东敏和律师事务所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2026-03-16T01:06:52Z</dcterms:created>
  <dc:creator>律师协会</dc:creator>
  <cp:lastModifiedBy>律师协会</cp:lastModifiedBy>
  <dcterms:modified xsi:type="dcterms:W3CDTF">2026-03-16T01:07:02Z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017B40E9BE1A4D13B7DF646BB391A2AF</vt:lpwstr>
  </property>
</Properties>
</file>